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A195" w14:textId="77777777" w:rsidR="00F25F35" w:rsidRDefault="00F25F35" w:rsidP="2C6D1BE5">
      <w:pPr>
        <w:ind w:left="180" w:hanging="180"/>
      </w:pPr>
    </w:p>
    <w:p w14:paraId="2AC3C627" w14:textId="77777777" w:rsidR="00ED72AE" w:rsidRPr="002A223E" w:rsidRDefault="00ED72AE" w:rsidP="2C6D1BE5">
      <w:pPr>
        <w:numPr>
          <w:ilvl w:val="0"/>
          <w:numId w:val="1"/>
        </w:numPr>
        <w:tabs>
          <w:tab w:val="clear" w:pos="180"/>
        </w:tabs>
        <w:rPr>
          <w:rFonts w:ascii="Arial" w:hAnsi="Arial" w:cs="Arial"/>
        </w:rPr>
      </w:pPr>
      <w:r w:rsidRPr="2C6D1BE5">
        <w:rPr>
          <w:rFonts w:ascii="Arial" w:hAnsi="Arial" w:cs="Arial"/>
        </w:rPr>
        <w:t>Purpose</w:t>
      </w:r>
    </w:p>
    <w:p w14:paraId="60D79806" w14:textId="22093B53" w:rsidR="002E1E64" w:rsidRDefault="00C5242E" w:rsidP="008A2AFB">
      <w:pPr>
        <w:ind w:left="180"/>
        <w:rPr>
          <w:rFonts w:ascii="Arial" w:hAnsi="Arial" w:cs="Arial"/>
        </w:rPr>
      </w:pPr>
      <w:r w:rsidRPr="00C5242E">
        <w:rPr>
          <w:rFonts w:ascii="Arial" w:hAnsi="Arial" w:cs="Arial"/>
        </w:rPr>
        <w:t xml:space="preserve">The purpose of this guideline is to provide criteria for identifying and utilizing the earliest endpoints that are compatible with the scientific objective of research studies while preventing, </w:t>
      </w:r>
      <w:r w:rsidR="007E75C7" w:rsidRPr="00C5242E">
        <w:rPr>
          <w:rFonts w:ascii="Arial" w:hAnsi="Arial" w:cs="Arial"/>
        </w:rPr>
        <w:t>minimizing,</w:t>
      </w:r>
      <w:r w:rsidRPr="00C5242E">
        <w:rPr>
          <w:rFonts w:ascii="Arial" w:hAnsi="Arial" w:cs="Arial"/>
        </w:rPr>
        <w:t xml:space="preserve"> or alleviating any actual or potential pain, </w:t>
      </w:r>
      <w:proofErr w:type="gramStart"/>
      <w:r w:rsidRPr="00C5242E">
        <w:rPr>
          <w:rFonts w:ascii="Arial" w:hAnsi="Arial" w:cs="Arial"/>
        </w:rPr>
        <w:t>distress</w:t>
      </w:r>
      <w:proofErr w:type="gramEnd"/>
      <w:r w:rsidRPr="00C5242E">
        <w:rPr>
          <w:rFonts w:ascii="Arial" w:hAnsi="Arial" w:cs="Arial"/>
        </w:rPr>
        <w:t xml:space="preserve"> or discomfort to study animals.</w:t>
      </w:r>
    </w:p>
    <w:p w14:paraId="7ADD2D3F" w14:textId="77777777" w:rsidR="00AC212E" w:rsidRPr="006A5147" w:rsidRDefault="00AC212E" w:rsidP="008A2AFB">
      <w:pPr>
        <w:ind w:left="180"/>
        <w:rPr>
          <w:rFonts w:ascii="Arial" w:hAnsi="Arial" w:cs="Arial"/>
        </w:rPr>
      </w:pPr>
    </w:p>
    <w:p w14:paraId="3677250F" w14:textId="07B9BD0F" w:rsidR="00ED72AE" w:rsidRPr="006B3E86" w:rsidRDefault="00ED72AE" w:rsidP="007E3C99">
      <w:pPr>
        <w:numPr>
          <w:ilvl w:val="0"/>
          <w:numId w:val="1"/>
        </w:numPr>
        <w:tabs>
          <w:tab w:val="clear" w:pos="180"/>
        </w:tabs>
        <w:rPr>
          <w:rFonts w:ascii="Arial" w:hAnsi="Arial" w:cs="Arial"/>
          <w:bCs/>
        </w:rPr>
      </w:pPr>
      <w:r w:rsidRPr="006B3E86">
        <w:rPr>
          <w:rFonts w:ascii="Arial" w:hAnsi="Arial" w:cs="Arial"/>
          <w:bCs/>
        </w:rPr>
        <w:t>Scope</w:t>
      </w:r>
    </w:p>
    <w:p w14:paraId="7B96AAD5" w14:textId="30A53162" w:rsidR="000F3E13" w:rsidRDefault="00AC212E" w:rsidP="00B07BC2">
      <w:pPr>
        <w:ind w:left="180"/>
        <w:rPr>
          <w:rFonts w:ascii="Arial" w:hAnsi="Arial" w:cs="Arial"/>
          <w:bCs/>
        </w:rPr>
      </w:pPr>
      <w:r w:rsidRPr="006B3E86">
        <w:rPr>
          <w:rFonts w:ascii="Arial" w:hAnsi="Arial" w:cs="Arial"/>
          <w:bCs/>
        </w:rPr>
        <w:t xml:space="preserve">This applies to all </w:t>
      </w:r>
      <w:r w:rsidR="0099318A">
        <w:rPr>
          <w:rFonts w:ascii="Arial" w:hAnsi="Arial" w:cs="Arial"/>
          <w:bCs/>
        </w:rPr>
        <w:t xml:space="preserve">animal users </w:t>
      </w:r>
      <w:r w:rsidR="00B13ADB">
        <w:rPr>
          <w:rFonts w:ascii="Arial" w:hAnsi="Arial" w:cs="Arial"/>
          <w:bCs/>
        </w:rPr>
        <w:t>working</w:t>
      </w:r>
      <w:r w:rsidR="00C140CB">
        <w:rPr>
          <w:rFonts w:ascii="Arial" w:hAnsi="Arial" w:cs="Arial"/>
          <w:bCs/>
        </w:rPr>
        <w:t xml:space="preserve"> under an IACUC approved </w:t>
      </w:r>
      <w:r w:rsidR="00B13ADB">
        <w:rPr>
          <w:rFonts w:ascii="Arial" w:hAnsi="Arial" w:cs="Arial"/>
          <w:bCs/>
        </w:rPr>
        <w:t xml:space="preserve">protocol. </w:t>
      </w:r>
      <w:r w:rsidR="007064EC">
        <w:rPr>
          <w:rFonts w:ascii="Arial" w:hAnsi="Arial" w:cs="Arial"/>
          <w:bCs/>
        </w:rPr>
        <w:t xml:space="preserve">Principal Investigators </w:t>
      </w:r>
      <w:r w:rsidR="00B13ADB">
        <w:rPr>
          <w:rFonts w:ascii="Arial" w:hAnsi="Arial" w:cs="Arial"/>
          <w:bCs/>
        </w:rPr>
        <w:t xml:space="preserve">are </w:t>
      </w:r>
      <w:r w:rsidR="007064EC">
        <w:rPr>
          <w:rFonts w:ascii="Arial" w:hAnsi="Arial" w:cs="Arial"/>
          <w:bCs/>
        </w:rPr>
        <w:t xml:space="preserve">responsible </w:t>
      </w:r>
      <w:r w:rsidR="0099318A">
        <w:rPr>
          <w:rFonts w:ascii="Arial" w:hAnsi="Arial" w:cs="Arial"/>
          <w:bCs/>
        </w:rPr>
        <w:t>for</w:t>
      </w:r>
      <w:r w:rsidR="00B13ADB">
        <w:rPr>
          <w:rFonts w:ascii="Arial" w:hAnsi="Arial" w:cs="Arial"/>
          <w:bCs/>
        </w:rPr>
        <w:t xml:space="preserve"> ensuring st</w:t>
      </w:r>
      <w:r w:rsidR="00C93FB1">
        <w:rPr>
          <w:rFonts w:ascii="Arial" w:hAnsi="Arial" w:cs="Arial"/>
          <w:bCs/>
        </w:rPr>
        <w:t xml:space="preserve">aff are trained on the humane endpoints listed in </w:t>
      </w:r>
      <w:r w:rsidR="00DB3038">
        <w:rPr>
          <w:rFonts w:ascii="Arial" w:hAnsi="Arial" w:cs="Arial"/>
          <w:bCs/>
        </w:rPr>
        <w:t>the protocol</w:t>
      </w:r>
      <w:r w:rsidR="00D76248" w:rsidRPr="006B3E86">
        <w:rPr>
          <w:rFonts w:ascii="Arial" w:hAnsi="Arial" w:cs="Arial"/>
          <w:bCs/>
        </w:rPr>
        <w:t>.</w:t>
      </w:r>
    </w:p>
    <w:p w14:paraId="08A8B349" w14:textId="77777777" w:rsidR="00A423BC" w:rsidRPr="006B3E86" w:rsidRDefault="00A423BC" w:rsidP="00B07BC2">
      <w:pPr>
        <w:ind w:left="180"/>
        <w:rPr>
          <w:rFonts w:ascii="Arial" w:hAnsi="Arial" w:cs="Arial"/>
          <w:bCs/>
        </w:rPr>
      </w:pPr>
    </w:p>
    <w:p w14:paraId="5F5B1651" w14:textId="7BDE0827" w:rsidR="007049E1" w:rsidRDefault="007049E1" w:rsidP="007E3C99">
      <w:pPr>
        <w:pStyle w:val="ListParagraph"/>
        <w:numPr>
          <w:ilvl w:val="0"/>
          <w:numId w:val="1"/>
        </w:numPr>
        <w:rPr>
          <w:rFonts w:ascii="Arial" w:hAnsi="Arial" w:cs="Arial"/>
          <w:sz w:val="24"/>
          <w:szCs w:val="24"/>
        </w:rPr>
      </w:pPr>
      <w:r>
        <w:rPr>
          <w:rFonts w:ascii="Arial" w:hAnsi="Arial" w:cs="Arial"/>
          <w:sz w:val="24"/>
          <w:szCs w:val="24"/>
        </w:rPr>
        <w:t>Definitions</w:t>
      </w:r>
    </w:p>
    <w:p w14:paraId="0FEBAACB" w14:textId="16CA4C36" w:rsidR="00B91F0A" w:rsidRDefault="00B91F0A" w:rsidP="00B204BA">
      <w:pPr>
        <w:ind w:left="180"/>
        <w:rPr>
          <w:rFonts w:ascii="Arial" w:hAnsi="Arial" w:cs="Arial"/>
        </w:rPr>
      </w:pPr>
      <w:r w:rsidRPr="2C6D1BE5">
        <w:rPr>
          <w:rFonts w:ascii="Arial" w:hAnsi="Arial" w:cs="Arial"/>
        </w:rPr>
        <w:t>Humane Endpoint:</w:t>
      </w:r>
      <w:r w:rsidR="00B118F1" w:rsidRPr="2C6D1BE5">
        <w:rPr>
          <w:rFonts w:ascii="Arial" w:hAnsi="Arial" w:cs="Arial"/>
        </w:rPr>
        <w:t xml:space="preserve"> Humane endpoints refer to one or more predetermined physiological or behavioral signs that define the point at which an experimental animal’s pain and/or distress is terminated, minimized or reduced by taking actions such as euthanizing the animal, terminating a painful procedure or giving treatment to relieve pain and/or </w:t>
      </w:r>
      <w:bookmarkStart w:id="0" w:name="_Int_sACqI9mX"/>
      <w:r w:rsidR="00B118F1" w:rsidRPr="2C6D1BE5">
        <w:rPr>
          <w:rFonts w:ascii="Arial" w:hAnsi="Arial" w:cs="Arial"/>
        </w:rPr>
        <w:t>distress.</w:t>
      </w:r>
      <w:r w:rsidR="007F3701" w:rsidRPr="2C6D1BE5">
        <w:rPr>
          <w:rFonts w:ascii="Arial" w:hAnsi="Arial" w:cs="Arial"/>
        </w:rPr>
        <w:t>(</w:t>
      </w:r>
      <w:bookmarkEnd w:id="0"/>
      <w:r w:rsidR="000D3CDC">
        <w:fldChar w:fldCharType="begin"/>
      </w:r>
      <w:r w:rsidR="000D3CDC">
        <w:instrText xml:space="preserve"> HYPERLINK "https://www.ccac.ca/Documents/Standards/Guidelines/Appropriate_endpoint.pdf" \h </w:instrText>
      </w:r>
      <w:r w:rsidR="000D3CDC">
        <w:fldChar w:fldCharType="separate"/>
      </w:r>
      <w:r w:rsidR="007F3701" w:rsidRPr="2C6D1BE5">
        <w:rPr>
          <w:rStyle w:val="Hyperlink"/>
          <w:rFonts w:ascii="Arial" w:hAnsi="Arial" w:cs="Arial"/>
        </w:rPr>
        <w:t>CCAC</w:t>
      </w:r>
      <w:r w:rsidR="000D3CDC">
        <w:rPr>
          <w:rStyle w:val="Hyperlink"/>
          <w:rFonts w:ascii="Arial" w:hAnsi="Arial" w:cs="Arial"/>
        </w:rPr>
        <w:fldChar w:fldCharType="end"/>
      </w:r>
      <w:r w:rsidR="007F3701" w:rsidRPr="2C6D1BE5">
        <w:rPr>
          <w:rFonts w:ascii="Arial" w:hAnsi="Arial" w:cs="Arial"/>
        </w:rPr>
        <w:t>)</w:t>
      </w:r>
    </w:p>
    <w:p w14:paraId="5CF4A8AE" w14:textId="30F7F32E" w:rsidR="006B2DE8" w:rsidRDefault="006B2DE8" w:rsidP="00B204BA">
      <w:pPr>
        <w:ind w:left="180"/>
        <w:rPr>
          <w:rFonts w:ascii="Arial" w:hAnsi="Arial" w:cs="Arial"/>
        </w:rPr>
      </w:pPr>
    </w:p>
    <w:p w14:paraId="3338E8A1" w14:textId="167962D6" w:rsidR="006B2DE8" w:rsidRDefault="006B2DE8" w:rsidP="00B204BA">
      <w:pPr>
        <w:ind w:left="180"/>
        <w:rPr>
          <w:rFonts w:ascii="Arial" w:hAnsi="Arial" w:cs="Arial"/>
        </w:rPr>
      </w:pPr>
      <w:r>
        <w:rPr>
          <w:rFonts w:ascii="Arial" w:hAnsi="Arial" w:cs="Arial"/>
        </w:rPr>
        <w:t>Experimental Endpoint:</w:t>
      </w:r>
      <w:r w:rsidR="00C929A2" w:rsidRPr="00C929A2">
        <w:t xml:space="preserve"> </w:t>
      </w:r>
      <w:r w:rsidR="00C929A2" w:rsidRPr="00C929A2">
        <w:rPr>
          <w:rFonts w:ascii="Arial" w:hAnsi="Arial" w:cs="Arial"/>
        </w:rPr>
        <w:t>When the scientific aims and objectives are reached</w:t>
      </w:r>
      <w:r w:rsidR="00C929A2">
        <w:rPr>
          <w:rFonts w:ascii="Arial" w:hAnsi="Arial" w:cs="Arial"/>
        </w:rPr>
        <w:t>.</w:t>
      </w:r>
      <w:r>
        <w:rPr>
          <w:rFonts w:ascii="Arial" w:hAnsi="Arial" w:cs="Arial"/>
        </w:rPr>
        <w:t xml:space="preserve">  </w:t>
      </w:r>
    </w:p>
    <w:p w14:paraId="7E1985CD" w14:textId="77777777" w:rsidR="006D1A87" w:rsidRPr="003B762A" w:rsidRDefault="006D1A87" w:rsidP="003B762A">
      <w:pPr>
        <w:ind w:left="180"/>
        <w:rPr>
          <w:rFonts w:ascii="Arial" w:hAnsi="Arial" w:cs="Arial"/>
        </w:rPr>
      </w:pPr>
    </w:p>
    <w:p w14:paraId="43E660C9" w14:textId="57D946EB" w:rsidR="00365094" w:rsidRDefault="00F040DD" w:rsidP="007E3C99">
      <w:pPr>
        <w:pStyle w:val="ListParagraph"/>
        <w:numPr>
          <w:ilvl w:val="0"/>
          <w:numId w:val="1"/>
        </w:numPr>
        <w:rPr>
          <w:rFonts w:ascii="Arial" w:hAnsi="Arial" w:cs="Arial"/>
          <w:sz w:val="24"/>
          <w:szCs w:val="24"/>
        </w:rPr>
      </w:pPr>
      <w:r>
        <w:rPr>
          <w:rFonts w:ascii="Arial" w:hAnsi="Arial" w:cs="Arial"/>
          <w:sz w:val="24"/>
          <w:szCs w:val="24"/>
        </w:rPr>
        <w:t>Guidance</w:t>
      </w:r>
    </w:p>
    <w:p w14:paraId="3D5024DA" w14:textId="3DBFBDA1" w:rsidR="009F4AF9" w:rsidRPr="003B762A" w:rsidRDefault="00365094" w:rsidP="003B762A">
      <w:pPr>
        <w:spacing w:after="240"/>
        <w:ind w:left="720" w:hanging="630"/>
        <w:rPr>
          <w:rFonts w:ascii="Arial" w:hAnsi="Arial" w:cs="Arial"/>
        </w:rPr>
      </w:pPr>
      <w:r w:rsidRPr="003B762A">
        <w:rPr>
          <w:rFonts w:ascii="Arial" w:hAnsi="Arial" w:cs="Arial"/>
        </w:rPr>
        <w:t xml:space="preserve">  A.</w:t>
      </w:r>
      <w:r w:rsidRPr="003B762A">
        <w:rPr>
          <w:rFonts w:ascii="Arial" w:hAnsi="Arial" w:cs="Arial"/>
        </w:rPr>
        <w:tab/>
        <w:t>Animal Welfare Regulations and Policies require: Animals exhibiting signs of pain, discomfort, or distress are to receive appropriate relief unless written scientific justification has been provided in the protocol and approved by the IACUC</w:t>
      </w:r>
      <w:r w:rsidR="00B06792">
        <w:rPr>
          <w:rFonts w:ascii="Arial" w:hAnsi="Arial" w:cs="Arial"/>
        </w:rPr>
        <w:t>.</w:t>
      </w:r>
      <w:r w:rsidR="009F4AF9" w:rsidRPr="003B762A">
        <w:rPr>
          <w:rFonts w:ascii="Arial" w:hAnsi="Arial" w:cs="Arial"/>
        </w:rPr>
        <w:t xml:space="preserve"> </w:t>
      </w:r>
      <w:r w:rsidR="00C140CB">
        <w:rPr>
          <w:rFonts w:ascii="Arial" w:hAnsi="Arial" w:cs="Arial"/>
        </w:rPr>
        <w:t>Additional points of guidance include:</w:t>
      </w:r>
    </w:p>
    <w:p w14:paraId="6D1C7625" w14:textId="5FDDE9BD" w:rsidR="00454845" w:rsidRPr="003B762A" w:rsidRDefault="00454845" w:rsidP="007E3C99">
      <w:pPr>
        <w:pStyle w:val="ListParagraph"/>
        <w:numPr>
          <w:ilvl w:val="0"/>
          <w:numId w:val="3"/>
        </w:numPr>
        <w:spacing w:after="60"/>
        <w:ind w:left="1170" w:hanging="450"/>
        <w:rPr>
          <w:rFonts w:ascii="Arial" w:hAnsi="Arial" w:cs="Arial"/>
        </w:rPr>
      </w:pPr>
      <w:r w:rsidRPr="003B762A">
        <w:rPr>
          <w:rFonts w:ascii="Arial" w:hAnsi="Arial" w:cs="Arial"/>
          <w:sz w:val="24"/>
          <w:szCs w:val="24"/>
        </w:rPr>
        <w:t>Certain animal use protocols include procedures or approaches that require special consideration during the IACUC review process due to their potential for unrelieved pain or distress or other animal welfare concerns.</w:t>
      </w:r>
    </w:p>
    <w:p w14:paraId="77ED5629" w14:textId="61A00220" w:rsidR="00454845" w:rsidRPr="003B762A" w:rsidRDefault="00454845" w:rsidP="007E3C99">
      <w:pPr>
        <w:pStyle w:val="ListParagraph"/>
        <w:numPr>
          <w:ilvl w:val="0"/>
          <w:numId w:val="3"/>
        </w:numPr>
        <w:spacing w:after="60"/>
        <w:ind w:left="1170" w:hanging="450"/>
        <w:rPr>
          <w:rFonts w:ascii="Arial" w:hAnsi="Arial" w:cs="Arial"/>
        </w:rPr>
      </w:pPr>
      <w:r w:rsidRPr="003B762A">
        <w:rPr>
          <w:rFonts w:ascii="Arial" w:hAnsi="Arial" w:cs="Arial"/>
          <w:sz w:val="24"/>
          <w:szCs w:val="24"/>
        </w:rPr>
        <w:t>The IACUC is obliged to weigh the objectives of the study against potential animal welfare concerns. By considering opportunities for refinement, the use of appropriate non-animal alternatives, and the use of fewer animals, both the institution and the principal investigator (PI) can begin to address their shared obligations for humane animal care and use.</w:t>
      </w:r>
    </w:p>
    <w:p w14:paraId="0C2008DE" w14:textId="7D6531A8" w:rsidR="00454845" w:rsidRPr="003B762A" w:rsidRDefault="00454845" w:rsidP="007E3C99">
      <w:pPr>
        <w:pStyle w:val="ListParagraph"/>
        <w:numPr>
          <w:ilvl w:val="0"/>
          <w:numId w:val="3"/>
        </w:numPr>
        <w:spacing w:after="60"/>
        <w:ind w:left="1170" w:hanging="450"/>
        <w:rPr>
          <w:rFonts w:ascii="Arial" w:hAnsi="Arial" w:cs="Arial"/>
        </w:rPr>
      </w:pPr>
      <w:r w:rsidRPr="003B762A">
        <w:rPr>
          <w:rFonts w:ascii="Arial" w:hAnsi="Arial" w:cs="Arial"/>
          <w:sz w:val="24"/>
          <w:szCs w:val="24"/>
        </w:rPr>
        <w:t>Use of humane endpoints contributes to refinement by providing an alternative to experimental endpoints that result in unrelieved or severe animal pain or distress, including death.</w:t>
      </w:r>
    </w:p>
    <w:p w14:paraId="4400EF8F" w14:textId="0FC39DE0" w:rsidR="00454845" w:rsidRPr="003B762A" w:rsidRDefault="00454845" w:rsidP="007E3C99">
      <w:pPr>
        <w:pStyle w:val="ListParagraph"/>
        <w:numPr>
          <w:ilvl w:val="0"/>
          <w:numId w:val="3"/>
        </w:numPr>
        <w:spacing w:after="60"/>
        <w:ind w:left="1170" w:hanging="450"/>
        <w:rPr>
          <w:rFonts w:ascii="Arial" w:hAnsi="Arial" w:cs="Arial"/>
        </w:rPr>
      </w:pPr>
      <w:r w:rsidRPr="003B762A">
        <w:rPr>
          <w:rFonts w:ascii="Arial" w:hAnsi="Arial" w:cs="Arial"/>
          <w:sz w:val="24"/>
          <w:szCs w:val="24"/>
        </w:rPr>
        <w:t>The PI should identify, explain, and include in the animal use protocol an experimental endpoint that is both humane and scientifically sound.</w:t>
      </w:r>
    </w:p>
    <w:p w14:paraId="72F322A7" w14:textId="688DB9CE" w:rsidR="00454845" w:rsidRPr="003B762A" w:rsidRDefault="00454845" w:rsidP="007E3C99">
      <w:pPr>
        <w:pStyle w:val="ListParagraph"/>
        <w:numPr>
          <w:ilvl w:val="0"/>
          <w:numId w:val="3"/>
        </w:numPr>
        <w:spacing w:after="60"/>
        <w:ind w:left="1170" w:hanging="450"/>
        <w:rPr>
          <w:rFonts w:ascii="Arial" w:hAnsi="Arial" w:cs="Arial"/>
        </w:rPr>
      </w:pPr>
      <w:r w:rsidRPr="003B762A">
        <w:rPr>
          <w:rFonts w:ascii="Arial" w:hAnsi="Arial" w:cs="Arial"/>
          <w:sz w:val="24"/>
          <w:szCs w:val="24"/>
        </w:rPr>
        <w:t xml:space="preserve">Critical information that should be included in defining experimental endpoints includes precise definition of the humane endpoint (including </w:t>
      </w:r>
      <w:r w:rsidRPr="003B762A">
        <w:rPr>
          <w:rFonts w:ascii="Arial" w:hAnsi="Arial" w:cs="Arial"/>
          <w:sz w:val="24"/>
          <w:szCs w:val="24"/>
        </w:rPr>
        <w:lastRenderedPageBreak/>
        <w:t>assessment criteria), the frequency of animal observation, training of personnel responsible for assessment and recognition of the humane endpoint, and the response required upon reaching the humane endpoint</w:t>
      </w:r>
      <w:r w:rsidRPr="003B762A">
        <w:rPr>
          <w:rFonts w:ascii="Arial" w:hAnsi="Arial" w:cs="Arial"/>
        </w:rPr>
        <w:t>.</w:t>
      </w:r>
    </w:p>
    <w:p w14:paraId="7385835C" w14:textId="62E968F0" w:rsidR="00BA339B" w:rsidRPr="003B762A" w:rsidRDefault="002C3135" w:rsidP="007E3C99">
      <w:pPr>
        <w:pStyle w:val="ListParagraph"/>
        <w:numPr>
          <w:ilvl w:val="0"/>
          <w:numId w:val="4"/>
        </w:numPr>
        <w:spacing w:before="240"/>
        <w:rPr>
          <w:rFonts w:ascii="Arial" w:eastAsiaTheme="minorEastAsia" w:hAnsi="Arial" w:cs="Arial"/>
          <w:sz w:val="24"/>
          <w:szCs w:val="24"/>
        </w:rPr>
      </w:pPr>
      <w:r w:rsidRPr="003B762A">
        <w:rPr>
          <w:rFonts w:ascii="Arial" w:eastAsiaTheme="minorEastAsia" w:hAnsi="Arial" w:cs="Arial"/>
          <w:sz w:val="24"/>
          <w:szCs w:val="24"/>
        </w:rPr>
        <w:t>Guiding Princip</w:t>
      </w:r>
      <w:r w:rsidR="0045036D">
        <w:rPr>
          <w:rFonts w:ascii="Arial" w:eastAsiaTheme="minorEastAsia" w:hAnsi="Arial" w:cs="Arial"/>
          <w:sz w:val="24"/>
          <w:szCs w:val="24"/>
        </w:rPr>
        <w:t>les</w:t>
      </w:r>
    </w:p>
    <w:p w14:paraId="36383B6D" w14:textId="70DFA8E2" w:rsidR="00865141" w:rsidRPr="003B762A" w:rsidRDefault="00865141" w:rsidP="007E3C99">
      <w:pPr>
        <w:pStyle w:val="ListParagraph"/>
        <w:numPr>
          <w:ilvl w:val="1"/>
          <w:numId w:val="5"/>
        </w:numPr>
        <w:tabs>
          <w:tab w:val="left" w:pos="360"/>
          <w:tab w:val="left" w:pos="720"/>
        </w:tabs>
        <w:spacing w:before="240" w:after="60"/>
        <w:ind w:left="1080"/>
        <w:rPr>
          <w:rFonts w:ascii="Arial" w:hAnsi="Arial" w:cs="Arial"/>
          <w:sz w:val="24"/>
          <w:szCs w:val="24"/>
        </w:rPr>
      </w:pPr>
      <w:r w:rsidRPr="003B762A">
        <w:rPr>
          <w:rFonts w:ascii="Arial" w:hAnsi="Arial" w:cs="Arial"/>
          <w:sz w:val="24"/>
          <w:szCs w:val="24"/>
        </w:rPr>
        <w:t xml:space="preserve">The earliest possible humane endpoints that meet the scientific aims and objectives must be used for studies in which it </w:t>
      </w:r>
      <w:r w:rsidR="00C140CB">
        <w:rPr>
          <w:rFonts w:ascii="Arial" w:hAnsi="Arial" w:cs="Arial"/>
          <w:sz w:val="24"/>
          <w:szCs w:val="24"/>
        </w:rPr>
        <w:t xml:space="preserve">is </w:t>
      </w:r>
      <w:r w:rsidRPr="003B762A">
        <w:rPr>
          <w:rFonts w:ascii="Arial" w:hAnsi="Arial" w:cs="Arial"/>
          <w:sz w:val="24"/>
          <w:szCs w:val="24"/>
        </w:rPr>
        <w:t xml:space="preserve">anticipated that animals may experience more than mild pain or distress. </w:t>
      </w:r>
    </w:p>
    <w:p w14:paraId="264C8650" w14:textId="574A4A4E" w:rsidR="00865141" w:rsidRPr="003B762A" w:rsidRDefault="00865141" w:rsidP="007E3C99">
      <w:pPr>
        <w:pStyle w:val="ListParagraph"/>
        <w:numPr>
          <w:ilvl w:val="1"/>
          <w:numId w:val="5"/>
        </w:numPr>
        <w:tabs>
          <w:tab w:val="left" w:pos="360"/>
          <w:tab w:val="left" w:pos="720"/>
        </w:tabs>
        <w:spacing w:after="60"/>
        <w:ind w:left="1080"/>
        <w:rPr>
          <w:rFonts w:ascii="Arial" w:hAnsi="Arial" w:cs="Arial"/>
          <w:sz w:val="24"/>
          <w:szCs w:val="24"/>
        </w:rPr>
      </w:pPr>
      <w:r w:rsidRPr="003B762A">
        <w:rPr>
          <w:rFonts w:ascii="Arial" w:hAnsi="Arial" w:cs="Arial"/>
          <w:sz w:val="24"/>
          <w:szCs w:val="24"/>
        </w:rPr>
        <w:t>The number of animals that may experience more than momentary pain or distress must be clearly described and scientifically justified. If humane endpoints that allow for greater degrees of pain and/or distress per experimental group are used (e.g., a sepsis study in which some groups of animals are euthanized within 24 hours and other groups are followed for up to 5 days), the number of animals for each endpoint must be clearly described and justified.</w:t>
      </w:r>
    </w:p>
    <w:p w14:paraId="60C96A00" w14:textId="06B8778F" w:rsidR="00865141" w:rsidRPr="003B762A" w:rsidRDefault="00865141" w:rsidP="007E3C99">
      <w:pPr>
        <w:pStyle w:val="ListParagraph"/>
        <w:numPr>
          <w:ilvl w:val="1"/>
          <w:numId w:val="5"/>
        </w:numPr>
        <w:tabs>
          <w:tab w:val="left" w:pos="720"/>
        </w:tabs>
        <w:spacing w:after="60"/>
        <w:ind w:left="1080"/>
        <w:rPr>
          <w:rFonts w:ascii="Arial" w:hAnsi="Arial" w:cs="Arial"/>
          <w:sz w:val="24"/>
          <w:szCs w:val="24"/>
        </w:rPr>
      </w:pPr>
      <w:r w:rsidRPr="2C6D1BE5">
        <w:rPr>
          <w:rFonts w:ascii="Arial" w:hAnsi="Arial" w:cs="Arial"/>
          <w:sz w:val="24"/>
          <w:szCs w:val="24"/>
        </w:rPr>
        <w:t>If analgesics interfere with the scientific aims and objectives and cannot be used, written justification must be provided in the approved IACUC protocol.</w:t>
      </w:r>
    </w:p>
    <w:p w14:paraId="29F47205" w14:textId="1CD7B2AE" w:rsidR="00865141" w:rsidRPr="003B762A" w:rsidRDefault="00865141" w:rsidP="007E3C99">
      <w:pPr>
        <w:pStyle w:val="ListParagraph"/>
        <w:numPr>
          <w:ilvl w:val="1"/>
          <w:numId w:val="5"/>
        </w:numPr>
        <w:tabs>
          <w:tab w:val="left" w:pos="720"/>
        </w:tabs>
        <w:spacing w:after="60"/>
        <w:ind w:left="1080"/>
        <w:rPr>
          <w:rFonts w:ascii="Arial" w:hAnsi="Arial" w:cs="Arial"/>
          <w:sz w:val="24"/>
          <w:szCs w:val="24"/>
        </w:rPr>
      </w:pPr>
      <w:r w:rsidRPr="003B762A">
        <w:rPr>
          <w:rFonts w:ascii="Arial" w:hAnsi="Arial" w:cs="Arial"/>
          <w:sz w:val="24"/>
          <w:szCs w:val="24"/>
        </w:rPr>
        <w:t>Animals must be monitored at a frequency acceptable by the IACUC and described in the protocol by personnel trained and experienced in recognizing signs of illness, injury, or abnormal behavior. At a minimum, monitoring must include the following:</w:t>
      </w:r>
    </w:p>
    <w:p w14:paraId="21C6F280" w14:textId="033D55C5" w:rsidR="00865141" w:rsidRPr="003B762A" w:rsidRDefault="00865141" w:rsidP="007E3C99">
      <w:pPr>
        <w:pStyle w:val="ListParagraph"/>
        <w:numPr>
          <w:ilvl w:val="0"/>
          <w:numId w:val="6"/>
        </w:numPr>
        <w:spacing w:after="60"/>
        <w:ind w:left="1440"/>
        <w:rPr>
          <w:rFonts w:ascii="Arial" w:hAnsi="Arial" w:cs="Arial"/>
          <w:sz w:val="24"/>
          <w:szCs w:val="24"/>
        </w:rPr>
      </w:pPr>
      <w:r w:rsidRPr="2C6D1BE5">
        <w:rPr>
          <w:rFonts w:ascii="Arial" w:hAnsi="Arial" w:cs="Arial"/>
          <w:sz w:val="24"/>
          <w:szCs w:val="24"/>
        </w:rPr>
        <w:t>Abnormal appearance</w:t>
      </w:r>
      <w:r w:rsidR="5E1E660E" w:rsidRPr="2C6D1BE5">
        <w:rPr>
          <w:rFonts w:ascii="Arial" w:hAnsi="Arial" w:cs="Arial"/>
          <w:sz w:val="24"/>
          <w:szCs w:val="24"/>
        </w:rPr>
        <w:t>: abnormal</w:t>
      </w:r>
      <w:r w:rsidRPr="2C6D1BE5">
        <w:rPr>
          <w:rFonts w:ascii="Arial" w:hAnsi="Arial" w:cs="Arial"/>
          <w:sz w:val="24"/>
          <w:szCs w:val="24"/>
        </w:rPr>
        <w:t xml:space="preserve"> posture or reluctance, rough coat, head tucked into abdomen, exudate around eyes and/or nose, skin lesions, abnormal breathing, neurological deficits, weight loss, dehydration.</w:t>
      </w:r>
    </w:p>
    <w:p w14:paraId="6851D351" w14:textId="60562773" w:rsidR="00865141" w:rsidRPr="003B762A" w:rsidRDefault="00865141" w:rsidP="007E3C99">
      <w:pPr>
        <w:pStyle w:val="ListParagraph"/>
        <w:numPr>
          <w:ilvl w:val="0"/>
          <w:numId w:val="6"/>
        </w:numPr>
        <w:spacing w:after="60"/>
        <w:ind w:left="1440"/>
        <w:rPr>
          <w:rFonts w:ascii="Arial" w:hAnsi="Arial" w:cs="Arial"/>
          <w:sz w:val="24"/>
          <w:szCs w:val="24"/>
        </w:rPr>
      </w:pPr>
      <w:r w:rsidRPr="2C6D1BE5">
        <w:rPr>
          <w:rFonts w:ascii="Arial" w:hAnsi="Arial" w:cs="Arial"/>
          <w:sz w:val="24"/>
          <w:szCs w:val="24"/>
        </w:rPr>
        <w:t>Abnormal activity</w:t>
      </w:r>
      <w:r w:rsidR="45945931" w:rsidRPr="2C6D1BE5">
        <w:rPr>
          <w:rFonts w:ascii="Arial" w:hAnsi="Arial" w:cs="Arial"/>
          <w:sz w:val="24"/>
          <w:szCs w:val="24"/>
        </w:rPr>
        <w:t>: abnormal</w:t>
      </w:r>
      <w:r w:rsidRPr="2C6D1BE5">
        <w:rPr>
          <w:rFonts w:ascii="Arial" w:hAnsi="Arial" w:cs="Arial"/>
          <w:sz w:val="24"/>
          <w:szCs w:val="24"/>
        </w:rPr>
        <w:t xml:space="preserve"> movement or reluctance to move, decreased food or water intake, self-mutilation.</w:t>
      </w:r>
    </w:p>
    <w:p w14:paraId="2624BAD2" w14:textId="23F14194" w:rsidR="00865141" w:rsidRPr="003B762A" w:rsidRDefault="00865141" w:rsidP="007E3C99">
      <w:pPr>
        <w:numPr>
          <w:ilvl w:val="0"/>
          <w:numId w:val="7"/>
        </w:numPr>
        <w:spacing w:after="60"/>
        <w:ind w:left="1080"/>
        <w:rPr>
          <w:rFonts w:ascii="Arial" w:hAnsi="Arial" w:cs="Arial"/>
        </w:rPr>
      </w:pPr>
      <w:r w:rsidRPr="003B762A">
        <w:rPr>
          <w:rFonts w:ascii="Arial" w:hAnsi="Arial" w:cs="Arial"/>
        </w:rPr>
        <w:t>The frequency of observation</w:t>
      </w:r>
      <w:r w:rsidR="00C140CB">
        <w:rPr>
          <w:rFonts w:ascii="Arial" w:hAnsi="Arial" w:cs="Arial"/>
        </w:rPr>
        <w:t xml:space="preserve"> of the entire </w:t>
      </w:r>
      <w:proofErr w:type="gramStart"/>
      <w:r w:rsidR="00C140CB">
        <w:rPr>
          <w:rFonts w:ascii="Arial" w:hAnsi="Arial" w:cs="Arial"/>
        </w:rPr>
        <w:t xml:space="preserve">cohort </w:t>
      </w:r>
      <w:r w:rsidRPr="003B762A">
        <w:rPr>
          <w:rFonts w:ascii="Arial" w:hAnsi="Arial" w:cs="Arial"/>
        </w:rPr>
        <w:t xml:space="preserve"> must</w:t>
      </w:r>
      <w:proofErr w:type="gramEnd"/>
      <w:r w:rsidRPr="003B762A">
        <w:rPr>
          <w:rFonts w:ascii="Arial" w:hAnsi="Arial" w:cs="Arial"/>
        </w:rPr>
        <w:t xml:space="preserve"> be increased </w:t>
      </w:r>
      <w:r w:rsidR="00C140CB">
        <w:rPr>
          <w:rFonts w:ascii="Arial" w:hAnsi="Arial" w:cs="Arial"/>
        </w:rPr>
        <w:t xml:space="preserve">when </w:t>
      </w:r>
      <w:r w:rsidRPr="003B762A">
        <w:rPr>
          <w:rFonts w:ascii="Arial" w:hAnsi="Arial" w:cs="Arial"/>
        </w:rPr>
        <w:t>one animal</w:t>
      </w:r>
      <w:r w:rsidR="00C140CB">
        <w:rPr>
          <w:rFonts w:ascii="Arial" w:hAnsi="Arial" w:cs="Arial"/>
        </w:rPr>
        <w:t xml:space="preserve"> or more animals</w:t>
      </w:r>
      <w:r w:rsidRPr="003B762A">
        <w:rPr>
          <w:rFonts w:ascii="Arial" w:hAnsi="Arial" w:cs="Arial"/>
        </w:rPr>
        <w:t xml:space="preserve"> in a cohort </w:t>
      </w:r>
      <w:r w:rsidR="00C140CB">
        <w:rPr>
          <w:rFonts w:ascii="Arial" w:hAnsi="Arial" w:cs="Arial"/>
        </w:rPr>
        <w:t xml:space="preserve">are </w:t>
      </w:r>
      <w:r w:rsidRPr="003B762A">
        <w:rPr>
          <w:rFonts w:ascii="Arial" w:hAnsi="Arial" w:cs="Arial"/>
        </w:rPr>
        <w:t>observed to be in unrelieved or severe animal pain or distress, including death.</w:t>
      </w:r>
    </w:p>
    <w:p w14:paraId="6A1FCF72" w14:textId="146397A1" w:rsidR="00865141" w:rsidRPr="003B762A" w:rsidRDefault="00865141" w:rsidP="007E3C99">
      <w:pPr>
        <w:pStyle w:val="ListParagraph"/>
        <w:numPr>
          <w:ilvl w:val="0"/>
          <w:numId w:val="8"/>
        </w:numPr>
        <w:tabs>
          <w:tab w:val="left" w:pos="720"/>
        </w:tabs>
        <w:spacing w:after="60"/>
        <w:ind w:left="1080"/>
        <w:rPr>
          <w:rFonts w:ascii="Arial" w:hAnsi="Arial" w:cs="Arial"/>
          <w:sz w:val="24"/>
          <w:szCs w:val="24"/>
        </w:rPr>
      </w:pPr>
      <w:r w:rsidRPr="003B762A">
        <w:rPr>
          <w:rFonts w:ascii="Arial" w:hAnsi="Arial" w:cs="Arial"/>
          <w:sz w:val="24"/>
          <w:szCs w:val="24"/>
        </w:rPr>
        <w:t>Personnel with training to determine humane endpoints must make an assessment as soon as possible if notified of an adverse health even</w:t>
      </w:r>
      <w:r w:rsidR="00ED6A84">
        <w:rPr>
          <w:rFonts w:ascii="Arial" w:hAnsi="Arial" w:cs="Arial"/>
          <w:sz w:val="24"/>
          <w:szCs w:val="24"/>
        </w:rPr>
        <w:t xml:space="preserve">t. </w:t>
      </w:r>
      <w:r w:rsidRPr="003B762A">
        <w:rPr>
          <w:rFonts w:ascii="Arial" w:hAnsi="Arial" w:cs="Arial"/>
          <w:sz w:val="24"/>
          <w:szCs w:val="24"/>
        </w:rPr>
        <w:t xml:space="preserve">If personnel directly responsible for the project cannot be contacted for some reason, </w:t>
      </w:r>
      <w:r w:rsidR="00ED6A84">
        <w:rPr>
          <w:rFonts w:ascii="Arial" w:hAnsi="Arial" w:cs="Arial"/>
          <w:sz w:val="24"/>
          <w:szCs w:val="24"/>
        </w:rPr>
        <w:t xml:space="preserve">ARC </w:t>
      </w:r>
      <w:r w:rsidRPr="003B762A">
        <w:rPr>
          <w:rFonts w:ascii="Arial" w:hAnsi="Arial" w:cs="Arial"/>
          <w:sz w:val="24"/>
          <w:szCs w:val="24"/>
        </w:rPr>
        <w:t>staff responsible for emergency veterinary care should provide care for or euthanize the animals in a timely manner</w:t>
      </w:r>
      <w:r w:rsidR="00051F07">
        <w:rPr>
          <w:rFonts w:ascii="Arial" w:hAnsi="Arial" w:cs="Arial"/>
          <w:sz w:val="24"/>
          <w:szCs w:val="24"/>
        </w:rPr>
        <w:t>. T</w:t>
      </w:r>
      <w:r w:rsidRPr="003B762A">
        <w:rPr>
          <w:rFonts w:ascii="Arial" w:hAnsi="Arial" w:cs="Arial"/>
          <w:sz w:val="24"/>
          <w:szCs w:val="24"/>
        </w:rPr>
        <w:t>he Attending Veterinarian must be promptly notified that animals are showing clinical signs of disease.</w:t>
      </w:r>
    </w:p>
    <w:p w14:paraId="46B5F781" w14:textId="77777777" w:rsidR="0015146C" w:rsidRPr="003B762A" w:rsidRDefault="0015146C" w:rsidP="003B762A">
      <w:pPr>
        <w:ind w:left="1080" w:hanging="360"/>
        <w:rPr>
          <w:rFonts w:ascii="Arial" w:hAnsi="Arial" w:cs="Arial"/>
        </w:rPr>
      </w:pPr>
    </w:p>
    <w:p w14:paraId="4DE4EFC5" w14:textId="463A64B9" w:rsidR="0015146C" w:rsidRPr="003B762A" w:rsidRDefault="0015146C" w:rsidP="003B762A">
      <w:pPr>
        <w:ind w:left="720" w:hanging="360"/>
        <w:rPr>
          <w:rFonts w:ascii="Arial" w:hAnsi="Arial" w:cs="Arial"/>
        </w:rPr>
      </w:pPr>
      <w:r w:rsidRPr="2C6D1BE5">
        <w:rPr>
          <w:rFonts w:ascii="Arial" w:hAnsi="Arial" w:cs="Arial"/>
        </w:rPr>
        <w:t>C.  Examples of conditions where intervention,</w:t>
      </w:r>
      <w:r w:rsidR="007B3700" w:rsidRPr="2C6D1BE5">
        <w:rPr>
          <w:rFonts w:ascii="Arial" w:hAnsi="Arial" w:cs="Arial"/>
        </w:rPr>
        <w:t xml:space="preserve"> </w:t>
      </w:r>
      <w:r w:rsidRPr="2C6D1BE5">
        <w:rPr>
          <w:rFonts w:ascii="Arial" w:hAnsi="Arial" w:cs="Arial"/>
        </w:rPr>
        <w:t xml:space="preserve">including euthanasia, </w:t>
      </w:r>
      <w:bookmarkStart w:id="1" w:name="_Int_jWYLhpSf"/>
      <w:r w:rsidRPr="2C6D1BE5">
        <w:rPr>
          <w:rFonts w:ascii="Arial" w:hAnsi="Arial" w:cs="Arial"/>
        </w:rPr>
        <w:t>where</w:t>
      </w:r>
      <w:bookmarkEnd w:id="1"/>
      <w:r w:rsidRPr="2C6D1BE5">
        <w:rPr>
          <w:rFonts w:ascii="Arial" w:hAnsi="Arial" w:cs="Arial"/>
        </w:rPr>
        <w:t xml:space="preserve"> appropriate</w:t>
      </w:r>
      <w:r w:rsidR="00C140CB">
        <w:rPr>
          <w:rFonts w:ascii="Arial" w:hAnsi="Arial" w:cs="Arial"/>
        </w:rPr>
        <w:t xml:space="preserve"> include</w:t>
      </w:r>
      <w:r w:rsidRPr="2C6D1BE5">
        <w:rPr>
          <w:rFonts w:ascii="Arial" w:hAnsi="Arial" w:cs="Arial"/>
        </w:rPr>
        <w:t xml:space="preserve">: </w:t>
      </w:r>
    </w:p>
    <w:p w14:paraId="62CF4596" w14:textId="50A8D8E2" w:rsidR="0015146C" w:rsidRPr="003B762A" w:rsidRDefault="636DBB03" w:rsidP="007E3C99">
      <w:pPr>
        <w:pStyle w:val="ListParagraph"/>
        <w:numPr>
          <w:ilvl w:val="2"/>
          <w:numId w:val="10"/>
        </w:numPr>
        <w:spacing w:after="200" w:line="276" w:lineRule="auto"/>
        <w:ind w:left="1080" w:hanging="270"/>
        <w:contextualSpacing/>
        <w:rPr>
          <w:rFonts w:ascii="Arial" w:hAnsi="Arial" w:cs="Arial"/>
          <w:sz w:val="24"/>
          <w:szCs w:val="24"/>
        </w:rPr>
      </w:pPr>
      <w:r w:rsidRPr="2A40AAFC">
        <w:rPr>
          <w:rFonts w:ascii="Arial" w:hAnsi="Arial" w:cs="Arial"/>
          <w:sz w:val="24"/>
          <w:szCs w:val="24"/>
        </w:rPr>
        <w:t>W</w:t>
      </w:r>
      <w:r w:rsidR="0015146C" w:rsidRPr="2A40AAFC">
        <w:rPr>
          <w:rFonts w:ascii="Arial" w:hAnsi="Arial" w:cs="Arial"/>
          <w:sz w:val="24"/>
          <w:szCs w:val="24"/>
        </w:rPr>
        <w:t xml:space="preserve">eight loss of </w:t>
      </w:r>
      <w:r w:rsidR="0015146C" w:rsidRPr="2A40AAFC">
        <w:rPr>
          <w:rFonts w:ascii="Arial" w:hAnsi="Arial" w:cs="Arial"/>
          <w:sz w:val="24"/>
          <w:szCs w:val="24"/>
          <w:u w:val="single"/>
        </w:rPr>
        <w:t>&gt;</w:t>
      </w:r>
      <w:r w:rsidR="0015146C" w:rsidRPr="2A40AAFC">
        <w:rPr>
          <w:rFonts w:ascii="Arial" w:hAnsi="Arial" w:cs="Arial"/>
          <w:sz w:val="24"/>
          <w:szCs w:val="24"/>
        </w:rPr>
        <w:t>20% of body weight</w:t>
      </w:r>
    </w:p>
    <w:p w14:paraId="44AD7059" w14:textId="77777777" w:rsidR="0015146C" w:rsidRPr="003B762A" w:rsidRDefault="0015146C" w:rsidP="007E3C99">
      <w:pPr>
        <w:pStyle w:val="ListParagraph"/>
        <w:numPr>
          <w:ilvl w:val="0"/>
          <w:numId w:val="11"/>
        </w:numPr>
        <w:spacing w:after="200" w:line="276" w:lineRule="auto"/>
        <w:ind w:left="1080" w:hanging="270"/>
        <w:contextualSpacing/>
        <w:rPr>
          <w:rFonts w:ascii="Arial" w:hAnsi="Arial" w:cs="Arial"/>
          <w:sz w:val="24"/>
          <w:szCs w:val="24"/>
        </w:rPr>
      </w:pPr>
      <w:r w:rsidRPr="003B762A">
        <w:rPr>
          <w:rFonts w:ascii="Arial" w:hAnsi="Arial" w:cs="Arial"/>
          <w:sz w:val="24"/>
          <w:szCs w:val="24"/>
        </w:rPr>
        <w:lastRenderedPageBreak/>
        <w:t>Persistent dehydration, non-responsive to medical intervention</w:t>
      </w:r>
    </w:p>
    <w:p w14:paraId="4CBBCC8A" w14:textId="77777777" w:rsidR="0015146C" w:rsidRPr="003B762A" w:rsidRDefault="0015146C" w:rsidP="007E3C99">
      <w:pPr>
        <w:pStyle w:val="ListParagraph"/>
        <w:numPr>
          <w:ilvl w:val="0"/>
          <w:numId w:val="11"/>
        </w:numPr>
        <w:spacing w:after="200" w:line="276" w:lineRule="auto"/>
        <w:ind w:left="1080" w:hanging="270"/>
        <w:contextualSpacing/>
        <w:rPr>
          <w:rFonts w:ascii="Arial" w:hAnsi="Arial" w:cs="Arial"/>
          <w:sz w:val="24"/>
          <w:szCs w:val="24"/>
        </w:rPr>
      </w:pPr>
      <w:r w:rsidRPr="003B762A">
        <w:rPr>
          <w:rFonts w:ascii="Arial" w:hAnsi="Arial" w:cs="Arial"/>
          <w:sz w:val="24"/>
          <w:szCs w:val="24"/>
        </w:rPr>
        <w:t xml:space="preserve">Chronic uncontrollable emesis or diarrhea </w:t>
      </w:r>
    </w:p>
    <w:p w14:paraId="5BA2AB8A" w14:textId="77777777" w:rsidR="0015146C" w:rsidRPr="003B762A" w:rsidRDefault="0015146C" w:rsidP="007E3C99">
      <w:pPr>
        <w:pStyle w:val="ListParagraph"/>
        <w:numPr>
          <w:ilvl w:val="0"/>
          <w:numId w:val="11"/>
        </w:numPr>
        <w:spacing w:after="200" w:line="276" w:lineRule="auto"/>
        <w:ind w:left="1080" w:hanging="270"/>
        <w:contextualSpacing/>
        <w:rPr>
          <w:rFonts w:ascii="Arial" w:hAnsi="Arial" w:cs="Arial"/>
          <w:sz w:val="24"/>
          <w:szCs w:val="24"/>
        </w:rPr>
      </w:pPr>
      <w:r w:rsidRPr="003B762A">
        <w:rPr>
          <w:rFonts w:ascii="Arial" w:hAnsi="Arial" w:cs="Arial"/>
          <w:sz w:val="24"/>
          <w:szCs w:val="24"/>
        </w:rPr>
        <w:t>Decrease in food consumption (less than 50% of food offered) for more than one day</w:t>
      </w:r>
    </w:p>
    <w:p w14:paraId="0A9BAC12" w14:textId="77777777" w:rsidR="0015146C" w:rsidRPr="003B762A" w:rsidRDefault="0015146C" w:rsidP="007E3C99">
      <w:pPr>
        <w:pStyle w:val="ListParagraph"/>
        <w:numPr>
          <w:ilvl w:val="0"/>
          <w:numId w:val="11"/>
        </w:numPr>
        <w:spacing w:after="200" w:line="276" w:lineRule="auto"/>
        <w:ind w:left="1080" w:hanging="270"/>
        <w:contextualSpacing/>
        <w:rPr>
          <w:rFonts w:ascii="Arial" w:hAnsi="Arial" w:cs="Arial"/>
          <w:sz w:val="24"/>
          <w:szCs w:val="24"/>
        </w:rPr>
      </w:pPr>
      <w:r w:rsidRPr="003B762A">
        <w:rPr>
          <w:rFonts w:ascii="Arial" w:hAnsi="Arial" w:cs="Arial"/>
          <w:sz w:val="24"/>
          <w:szCs w:val="24"/>
        </w:rPr>
        <w:t xml:space="preserve">Secondary infections </w:t>
      </w:r>
      <w:proofErr w:type="gramStart"/>
      <w:r w:rsidRPr="003B762A">
        <w:rPr>
          <w:rFonts w:ascii="Arial" w:hAnsi="Arial" w:cs="Arial"/>
          <w:sz w:val="24"/>
          <w:szCs w:val="24"/>
        </w:rPr>
        <w:t>subsequent to</w:t>
      </w:r>
      <w:proofErr w:type="gramEnd"/>
      <w:r w:rsidRPr="003B762A">
        <w:rPr>
          <w:rFonts w:ascii="Arial" w:hAnsi="Arial" w:cs="Arial"/>
          <w:sz w:val="24"/>
          <w:szCs w:val="24"/>
        </w:rPr>
        <w:t xml:space="preserve"> immunosuppression, not responsive to treatment</w:t>
      </w:r>
    </w:p>
    <w:p w14:paraId="1124E757" w14:textId="77777777" w:rsidR="0015146C" w:rsidRPr="003B762A" w:rsidRDefault="0015146C" w:rsidP="007E3C99">
      <w:pPr>
        <w:pStyle w:val="ListParagraph"/>
        <w:numPr>
          <w:ilvl w:val="0"/>
          <w:numId w:val="11"/>
        </w:numPr>
        <w:tabs>
          <w:tab w:val="left" w:pos="3330"/>
        </w:tabs>
        <w:spacing w:after="200" w:line="276" w:lineRule="auto"/>
        <w:ind w:left="1080" w:hanging="270"/>
        <w:contextualSpacing/>
        <w:rPr>
          <w:rFonts w:ascii="Arial" w:hAnsi="Arial" w:cs="Arial"/>
          <w:sz w:val="24"/>
          <w:szCs w:val="24"/>
        </w:rPr>
      </w:pPr>
      <w:r w:rsidRPr="003B762A">
        <w:rPr>
          <w:rFonts w:ascii="Arial" w:hAnsi="Arial" w:cs="Arial"/>
          <w:sz w:val="24"/>
          <w:szCs w:val="24"/>
        </w:rPr>
        <w:t>Persistent hypothermia/hyperthermia of +/-4C normal range, nonresponsive to remedial action</w:t>
      </w:r>
    </w:p>
    <w:p w14:paraId="4FCB9BF1" w14:textId="77777777" w:rsidR="0015146C" w:rsidRPr="003B762A" w:rsidRDefault="0015146C" w:rsidP="007E3C99">
      <w:pPr>
        <w:pStyle w:val="ListParagraph"/>
        <w:numPr>
          <w:ilvl w:val="0"/>
          <w:numId w:val="11"/>
        </w:numPr>
        <w:tabs>
          <w:tab w:val="left" w:pos="3330"/>
        </w:tabs>
        <w:spacing w:after="200" w:line="276" w:lineRule="auto"/>
        <w:ind w:left="1080" w:hanging="270"/>
        <w:contextualSpacing/>
        <w:rPr>
          <w:rFonts w:ascii="Arial" w:hAnsi="Arial" w:cs="Arial"/>
          <w:sz w:val="24"/>
          <w:szCs w:val="24"/>
        </w:rPr>
      </w:pPr>
      <w:r w:rsidRPr="003B762A">
        <w:rPr>
          <w:rFonts w:ascii="Arial" w:hAnsi="Arial" w:cs="Arial"/>
          <w:sz w:val="24"/>
          <w:szCs w:val="24"/>
        </w:rPr>
        <w:t>Persistent severe anemia with respiratory distress, pale membranes</w:t>
      </w:r>
    </w:p>
    <w:p w14:paraId="512A5440" w14:textId="77777777" w:rsidR="0015146C" w:rsidRPr="003B762A" w:rsidRDefault="0015146C" w:rsidP="007E3C99">
      <w:pPr>
        <w:pStyle w:val="ListParagraph"/>
        <w:numPr>
          <w:ilvl w:val="0"/>
          <w:numId w:val="11"/>
        </w:numPr>
        <w:tabs>
          <w:tab w:val="left" w:pos="3330"/>
        </w:tabs>
        <w:spacing w:after="200" w:line="276" w:lineRule="auto"/>
        <w:ind w:left="1080" w:hanging="270"/>
        <w:contextualSpacing/>
        <w:rPr>
          <w:rFonts w:ascii="Arial" w:hAnsi="Arial" w:cs="Arial"/>
          <w:sz w:val="24"/>
          <w:szCs w:val="24"/>
        </w:rPr>
      </w:pPr>
      <w:r w:rsidRPr="003B762A">
        <w:rPr>
          <w:rFonts w:ascii="Arial" w:hAnsi="Arial" w:cs="Arial"/>
          <w:sz w:val="24"/>
          <w:szCs w:val="24"/>
        </w:rPr>
        <w:t>Extended period of weight loss, progressing to emaciated state</w:t>
      </w:r>
    </w:p>
    <w:p w14:paraId="5FEF0413" w14:textId="77777777" w:rsidR="0015146C" w:rsidRPr="003B762A" w:rsidRDefault="0015146C" w:rsidP="007E3C99">
      <w:pPr>
        <w:pStyle w:val="ListParagraph"/>
        <w:numPr>
          <w:ilvl w:val="0"/>
          <w:numId w:val="11"/>
        </w:numPr>
        <w:tabs>
          <w:tab w:val="left" w:pos="1080"/>
          <w:tab w:val="left" w:pos="3330"/>
        </w:tabs>
        <w:spacing w:after="200" w:line="276" w:lineRule="auto"/>
        <w:ind w:left="1080" w:hanging="270"/>
        <w:contextualSpacing/>
        <w:rPr>
          <w:rFonts w:ascii="Arial" w:hAnsi="Arial" w:cs="Arial"/>
          <w:sz w:val="24"/>
          <w:szCs w:val="24"/>
        </w:rPr>
      </w:pPr>
      <w:r w:rsidRPr="003B762A">
        <w:rPr>
          <w:rFonts w:ascii="Arial" w:hAnsi="Arial" w:cs="Arial"/>
          <w:sz w:val="24"/>
          <w:szCs w:val="24"/>
        </w:rPr>
        <w:t>Surgical complications unresponsive to medical intervention</w:t>
      </w:r>
    </w:p>
    <w:p w14:paraId="6F7C2B29" w14:textId="4976E108" w:rsidR="0015146C" w:rsidRPr="003B762A" w:rsidRDefault="005D4A30" w:rsidP="007E3C99">
      <w:pPr>
        <w:pStyle w:val="ListParagraph"/>
        <w:numPr>
          <w:ilvl w:val="0"/>
          <w:numId w:val="11"/>
        </w:numPr>
        <w:tabs>
          <w:tab w:val="left" w:pos="1080"/>
          <w:tab w:val="left" w:pos="1170"/>
        </w:tabs>
        <w:spacing w:after="200" w:line="276" w:lineRule="auto"/>
        <w:ind w:left="1080" w:hanging="450"/>
        <w:contextualSpacing/>
        <w:rPr>
          <w:rFonts w:ascii="Arial" w:hAnsi="Arial" w:cs="Arial"/>
          <w:sz w:val="24"/>
          <w:szCs w:val="24"/>
        </w:rPr>
      </w:pPr>
      <w:r>
        <w:rPr>
          <w:rFonts w:ascii="Arial" w:hAnsi="Arial" w:cs="Arial"/>
          <w:sz w:val="24"/>
          <w:szCs w:val="24"/>
        </w:rPr>
        <w:t>C</w:t>
      </w:r>
      <w:r w:rsidR="0015146C" w:rsidRPr="003B762A">
        <w:rPr>
          <w:rFonts w:ascii="Arial" w:hAnsi="Arial" w:cs="Arial"/>
          <w:sz w:val="24"/>
          <w:szCs w:val="24"/>
        </w:rPr>
        <w:t>ombination of the following:</w:t>
      </w:r>
    </w:p>
    <w:p w14:paraId="0990B112" w14:textId="77777777" w:rsidR="0015146C" w:rsidRPr="003B762A" w:rsidRDefault="0015146C" w:rsidP="007E3C99">
      <w:pPr>
        <w:pStyle w:val="ListParagraph"/>
        <w:numPr>
          <w:ilvl w:val="3"/>
          <w:numId w:val="9"/>
        </w:numPr>
        <w:spacing w:after="200" w:line="276" w:lineRule="auto"/>
        <w:ind w:left="1440" w:hanging="270"/>
        <w:contextualSpacing/>
        <w:rPr>
          <w:rFonts w:ascii="Arial" w:hAnsi="Arial" w:cs="Arial"/>
          <w:sz w:val="24"/>
          <w:szCs w:val="24"/>
        </w:rPr>
      </w:pPr>
      <w:r w:rsidRPr="003B762A">
        <w:rPr>
          <w:rFonts w:ascii="Arial" w:hAnsi="Arial" w:cs="Arial"/>
          <w:sz w:val="24"/>
          <w:szCs w:val="24"/>
        </w:rPr>
        <w:t>Poor Physical Appearance</w:t>
      </w:r>
    </w:p>
    <w:p w14:paraId="0EE5A5AE"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Very rough hair coat</w:t>
      </w:r>
    </w:p>
    <w:p w14:paraId="1B11C926"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Abnormal posture</w:t>
      </w:r>
    </w:p>
    <w:p w14:paraId="145E6E7B" w14:textId="77777777" w:rsidR="0015146C" w:rsidRPr="003B762A" w:rsidRDefault="0015146C" w:rsidP="007E3C99">
      <w:pPr>
        <w:pStyle w:val="ListParagraph"/>
        <w:numPr>
          <w:ilvl w:val="3"/>
          <w:numId w:val="9"/>
        </w:numPr>
        <w:spacing w:after="200" w:line="276" w:lineRule="auto"/>
        <w:ind w:left="1440" w:hanging="270"/>
        <w:contextualSpacing/>
        <w:rPr>
          <w:rFonts w:ascii="Arial" w:hAnsi="Arial" w:cs="Arial"/>
          <w:sz w:val="24"/>
          <w:szCs w:val="24"/>
        </w:rPr>
      </w:pPr>
      <w:r w:rsidRPr="003B762A">
        <w:rPr>
          <w:rFonts w:ascii="Arial" w:hAnsi="Arial" w:cs="Arial"/>
          <w:sz w:val="24"/>
          <w:szCs w:val="24"/>
        </w:rPr>
        <w:t xml:space="preserve"> Abnormal Behavior</w:t>
      </w:r>
    </w:p>
    <w:p w14:paraId="05C11697"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Reduced mobility</w:t>
      </w:r>
    </w:p>
    <w:p w14:paraId="5B8C5148"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Unconsciousness</w:t>
      </w:r>
    </w:p>
    <w:p w14:paraId="31171A5D"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Unsolicited vocalizations</w:t>
      </w:r>
    </w:p>
    <w:p w14:paraId="5E5B2824" w14:textId="77777777" w:rsidR="0015146C" w:rsidRPr="003B762A" w:rsidRDefault="0015146C" w:rsidP="007E3C99">
      <w:pPr>
        <w:pStyle w:val="ListParagraph"/>
        <w:numPr>
          <w:ilvl w:val="4"/>
          <w:numId w:val="9"/>
        </w:numPr>
        <w:spacing w:after="200" w:line="276" w:lineRule="auto"/>
        <w:ind w:hanging="270"/>
        <w:contextualSpacing/>
        <w:rPr>
          <w:rFonts w:ascii="Arial" w:hAnsi="Arial" w:cs="Arial"/>
          <w:sz w:val="24"/>
          <w:szCs w:val="24"/>
        </w:rPr>
      </w:pPr>
      <w:r w:rsidRPr="003B762A">
        <w:rPr>
          <w:rFonts w:ascii="Arial" w:hAnsi="Arial" w:cs="Arial"/>
          <w:sz w:val="24"/>
          <w:szCs w:val="24"/>
        </w:rPr>
        <w:t>Self-mutilation</w:t>
      </w:r>
    </w:p>
    <w:p w14:paraId="6357F1ED" w14:textId="77777777" w:rsidR="0015146C" w:rsidRPr="003B762A" w:rsidRDefault="0015146C" w:rsidP="007E3C99">
      <w:pPr>
        <w:pStyle w:val="ListParagraph"/>
        <w:numPr>
          <w:ilvl w:val="3"/>
          <w:numId w:val="9"/>
        </w:numPr>
        <w:spacing w:after="200" w:line="276" w:lineRule="auto"/>
        <w:ind w:left="1530"/>
        <w:contextualSpacing/>
        <w:rPr>
          <w:rFonts w:ascii="Arial" w:hAnsi="Arial" w:cs="Arial"/>
          <w:sz w:val="24"/>
          <w:szCs w:val="24"/>
        </w:rPr>
      </w:pPr>
      <w:r w:rsidRPr="003B762A">
        <w:rPr>
          <w:rFonts w:ascii="Arial" w:hAnsi="Arial" w:cs="Arial"/>
          <w:sz w:val="24"/>
          <w:szCs w:val="24"/>
        </w:rPr>
        <w:t>Abnormal or exaggerated responses to external stimuli</w:t>
      </w:r>
    </w:p>
    <w:p w14:paraId="3FE8F102" w14:textId="77777777" w:rsidR="0015146C" w:rsidRPr="003B762A" w:rsidRDefault="0015146C" w:rsidP="007E3C99">
      <w:pPr>
        <w:pStyle w:val="ListParagraph"/>
        <w:numPr>
          <w:ilvl w:val="3"/>
          <w:numId w:val="9"/>
        </w:numPr>
        <w:spacing w:after="200" w:line="276" w:lineRule="auto"/>
        <w:ind w:left="1440" w:hanging="270"/>
        <w:contextualSpacing/>
        <w:rPr>
          <w:rFonts w:ascii="Arial" w:hAnsi="Arial" w:cs="Arial"/>
          <w:sz w:val="24"/>
          <w:szCs w:val="24"/>
        </w:rPr>
      </w:pPr>
      <w:r w:rsidRPr="003B762A">
        <w:rPr>
          <w:rFonts w:ascii="Arial" w:hAnsi="Arial" w:cs="Arial"/>
          <w:sz w:val="24"/>
          <w:szCs w:val="24"/>
        </w:rPr>
        <w:t xml:space="preserve"> Abnormal clinical signs</w:t>
      </w:r>
    </w:p>
    <w:p w14:paraId="6672A062" w14:textId="77777777" w:rsidR="0015146C" w:rsidRPr="003B762A" w:rsidRDefault="0015146C" w:rsidP="007E3C99">
      <w:pPr>
        <w:pStyle w:val="ListParagraph"/>
        <w:numPr>
          <w:ilvl w:val="2"/>
          <w:numId w:val="12"/>
        </w:numPr>
        <w:spacing w:after="200" w:line="276" w:lineRule="auto"/>
        <w:ind w:left="1890" w:hanging="360"/>
        <w:contextualSpacing/>
        <w:rPr>
          <w:rFonts w:ascii="Arial" w:hAnsi="Arial" w:cs="Arial"/>
          <w:sz w:val="24"/>
          <w:szCs w:val="24"/>
        </w:rPr>
      </w:pPr>
      <w:r w:rsidRPr="003B762A">
        <w:rPr>
          <w:rFonts w:ascii="Arial" w:hAnsi="Arial" w:cs="Arial"/>
          <w:sz w:val="24"/>
          <w:szCs w:val="24"/>
        </w:rPr>
        <w:t>Severe respiratory distress, unresponsive to treatment</w:t>
      </w:r>
    </w:p>
    <w:p w14:paraId="7C3AB2B5" w14:textId="3B004D3B" w:rsidR="0015146C" w:rsidRPr="003B762A" w:rsidRDefault="0015146C" w:rsidP="007E3C99">
      <w:pPr>
        <w:pStyle w:val="ListParagraph"/>
        <w:numPr>
          <w:ilvl w:val="2"/>
          <w:numId w:val="12"/>
        </w:numPr>
        <w:spacing w:after="200" w:line="276" w:lineRule="auto"/>
        <w:ind w:left="1890" w:hanging="360"/>
        <w:contextualSpacing/>
        <w:rPr>
          <w:rFonts w:ascii="Arial" w:hAnsi="Arial" w:cs="Arial"/>
          <w:sz w:val="24"/>
          <w:szCs w:val="24"/>
        </w:rPr>
      </w:pPr>
      <w:r w:rsidRPr="003B762A">
        <w:rPr>
          <w:rFonts w:ascii="Arial" w:hAnsi="Arial" w:cs="Arial"/>
          <w:sz w:val="24"/>
          <w:szCs w:val="24"/>
        </w:rPr>
        <w:t>Severe anaphylaxis, unresponsive to treatment</w:t>
      </w:r>
    </w:p>
    <w:p w14:paraId="72E6D185" w14:textId="4B83FEF5" w:rsidR="0015146C" w:rsidRPr="003B762A" w:rsidRDefault="0015146C" w:rsidP="007E3C99">
      <w:pPr>
        <w:pStyle w:val="ListParagraph"/>
        <w:numPr>
          <w:ilvl w:val="2"/>
          <w:numId w:val="12"/>
        </w:numPr>
        <w:spacing w:after="200" w:line="276" w:lineRule="auto"/>
        <w:ind w:left="1890" w:hanging="360"/>
        <w:contextualSpacing/>
        <w:rPr>
          <w:rFonts w:ascii="Arial" w:hAnsi="Arial" w:cs="Arial"/>
          <w:sz w:val="24"/>
          <w:szCs w:val="24"/>
        </w:rPr>
      </w:pPr>
      <w:r w:rsidRPr="003B762A">
        <w:rPr>
          <w:rFonts w:ascii="Arial" w:hAnsi="Arial" w:cs="Arial"/>
          <w:sz w:val="24"/>
          <w:szCs w:val="24"/>
        </w:rPr>
        <w:t>V</w:t>
      </w:r>
      <w:r w:rsidR="00B7307B">
        <w:rPr>
          <w:rFonts w:ascii="Arial" w:hAnsi="Arial" w:cs="Arial"/>
          <w:sz w:val="24"/>
          <w:szCs w:val="24"/>
        </w:rPr>
        <w:t xml:space="preserve">ascular Access </w:t>
      </w:r>
      <w:proofErr w:type="gramStart"/>
      <w:r w:rsidRPr="003B762A">
        <w:rPr>
          <w:rFonts w:ascii="Arial" w:hAnsi="Arial" w:cs="Arial"/>
          <w:sz w:val="24"/>
          <w:szCs w:val="24"/>
        </w:rPr>
        <w:t>P</w:t>
      </w:r>
      <w:r w:rsidR="00B7307B">
        <w:rPr>
          <w:rFonts w:ascii="Arial" w:hAnsi="Arial" w:cs="Arial"/>
          <w:sz w:val="24"/>
          <w:szCs w:val="24"/>
        </w:rPr>
        <w:t>ort(</w:t>
      </w:r>
      <w:proofErr w:type="gramEnd"/>
      <w:r w:rsidR="00B7307B">
        <w:rPr>
          <w:rFonts w:ascii="Arial" w:hAnsi="Arial" w:cs="Arial"/>
          <w:sz w:val="24"/>
          <w:szCs w:val="24"/>
        </w:rPr>
        <w:t>VAP)</w:t>
      </w:r>
      <w:r w:rsidRPr="003B762A">
        <w:rPr>
          <w:rFonts w:ascii="Arial" w:hAnsi="Arial" w:cs="Arial"/>
          <w:sz w:val="24"/>
          <w:szCs w:val="24"/>
        </w:rPr>
        <w:t xml:space="preserve"> associated infections; migration of catheter; unalleviated by corrective actions.</w:t>
      </w:r>
    </w:p>
    <w:p w14:paraId="68B5C644" w14:textId="77777777" w:rsidR="0015146C" w:rsidRPr="003B762A" w:rsidRDefault="0015146C" w:rsidP="007E3C99">
      <w:pPr>
        <w:pStyle w:val="ListParagraph"/>
        <w:numPr>
          <w:ilvl w:val="2"/>
          <w:numId w:val="12"/>
        </w:numPr>
        <w:spacing w:after="200" w:line="276" w:lineRule="auto"/>
        <w:ind w:left="1890" w:hanging="360"/>
        <w:contextualSpacing/>
        <w:rPr>
          <w:rFonts w:ascii="Arial" w:hAnsi="Arial" w:cs="Arial"/>
          <w:sz w:val="24"/>
          <w:szCs w:val="24"/>
        </w:rPr>
      </w:pPr>
      <w:r w:rsidRPr="003B762A">
        <w:rPr>
          <w:rFonts w:ascii="Arial" w:hAnsi="Arial" w:cs="Arial"/>
          <w:sz w:val="24"/>
          <w:szCs w:val="24"/>
        </w:rPr>
        <w:t>Occurrence of a serious injury or trauma from which recovery is unlikely</w:t>
      </w:r>
    </w:p>
    <w:p w14:paraId="208419BD" w14:textId="46116376" w:rsidR="0015146C" w:rsidRPr="003B762A" w:rsidRDefault="0015146C" w:rsidP="007E3C99">
      <w:pPr>
        <w:pStyle w:val="ListParagraph"/>
        <w:numPr>
          <w:ilvl w:val="2"/>
          <w:numId w:val="12"/>
        </w:numPr>
        <w:spacing w:after="200" w:line="276" w:lineRule="auto"/>
        <w:ind w:left="1890" w:hanging="360"/>
        <w:contextualSpacing/>
        <w:rPr>
          <w:rFonts w:ascii="Arial" w:hAnsi="Arial" w:cs="Arial"/>
          <w:sz w:val="24"/>
          <w:szCs w:val="24"/>
        </w:rPr>
      </w:pPr>
      <w:r w:rsidRPr="003B762A">
        <w:rPr>
          <w:rFonts w:ascii="Arial" w:hAnsi="Arial" w:cs="Arial"/>
          <w:sz w:val="24"/>
          <w:szCs w:val="24"/>
        </w:rPr>
        <w:t>Neurological signs that interfere with eating and drinking and from which recovery is unlikely</w:t>
      </w:r>
    </w:p>
    <w:p w14:paraId="647EE93D" w14:textId="2024B194" w:rsidR="0015146C" w:rsidRPr="003B762A" w:rsidRDefault="0015146C" w:rsidP="00B7307B">
      <w:pPr>
        <w:pStyle w:val="ListParagraph"/>
        <w:numPr>
          <w:ilvl w:val="0"/>
          <w:numId w:val="23"/>
        </w:numPr>
        <w:ind w:left="1890"/>
        <w:rPr>
          <w:rFonts w:ascii="Arial" w:hAnsi="Arial" w:cs="Arial"/>
          <w:sz w:val="24"/>
          <w:szCs w:val="24"/>
        </w:rPr>
      </w:pPr>
      <w:r w:rsidRPr="003B762A">
        <w:rPr>
          <w:rFonts w:ascii="Arial" w:hAnsi="Arial" w:cs="Arial"/>
          <w:sz w:val="24"/>
          <w:szCs w:val="24"/>
        </w:rPr>
        <w:t>Trauma to eye, ulceration/vascularization of cornea, unresponsive to treatment</w:t>
      </w:r>
    </w:p>
    <w:p w14:paraId="73C6C23E" w14:textId="77777777" w:rsidR="0015146C" w:rsidRPr="003B762A" w:rsidRDefault="0015146C" w:rsidP="00B7307B">
      <w:pPr>
        <w:pStyle w:val="ListParagraph"/>
        <w:numPr>
          <w:ilvl w:val="0"/>
          <w:numId w:val="23"/>
        </w:numPr>
        <w:spacing w:after="200" w:line="276" w:lineRule="auto"/>
        <w:ind w:left="1890"/>
        <w:contextualSpacing/>
        <w:rPr>
          <w:rFonts w:ascii="Arial" w:hAnsi="Arial" w:cs="Arial"/>
          <w:sz w:val="24"/>
          <w:szCs w:val="24"/>
        </w:rPr>
      </w:pPr>
      <w:r w:rsidRPr="003B762A">
        <w:rPr>
          <w:rFonts w:ascii="Arial" w:hAnsi="Arial" w:cs="Arial"/>
          <w:sz w:val="24"/>
          <w:szCs w:val="24"/>
        </w:rPr>
        <w:t>Protrusion of the eye with inability to blink and maintain lubrication.</w:t>
      </w:r>
    </w:p>
    <w:p w14:paraId="2B16B2BF" w14:textId="77777777" w:rsidR="0015146C" w:rsidRPr="003B762A" w:rsidRDefault="0015146C" w:rsidP="00B7307B">
      <w:pPr>
        <w:pStyle w:val="ListParagraph"/>
        <w:numPr>
          <w:ilvl w:val="0"/>
          <w:numId w:val="23"/>
        </w:numPr>
        <w:spacing w:after="200" w:line="276" w:lineRule="auto"/>
        <w:ind w:left="1890"/>
        <w:contextualSpacing/>
        <w:rPr>
          <w:rFonts w:ascii="Arial" w:hAnsi="Arial" w:cs="Arial"/>
          <w:sz w:val="24"/>
          <w:szCs w:val="24"/>
        </w:rPr>
      </w:pPr>
      <w:r w:rsidRPr="003B762A">
        <w:rPr>
          <w:rFonts w:ascii="Arial" w:hAnsi="Arial" w:cs="Arial"/>
          <w:sz w:val="24"/>
          <w:szCs w:val="24"/>
        </w:rPr>
        <w:t>Continuous frank bleeding from any orifice, which is unresponsive to treatment</w:t>
      </w:r>
    </w:p>
    <w:p w14:paraId="20D4045C" w14:textId="77777777" w:rsidR="0015146C" w:rsidRPr="003B762A" w:rsidRDefault="0015146C" w:rsidP="00B7307B">
      <w:pPr>
        <w:pStyle w:val="ListParagraph"/>
        <w:numPr>
          <w:ilvl w:val="0"/>
          <w:numId w:val="23"/>
        </w:numPr>
        <w:spacing w:after="200" w:line="276" w:lineRule="auto"/>
        <w:ind w:left="1890"/>
        <w:contextualSpacing/>
        <w:rPr>
          <w:rFonts w:ascii="Arial" w:hAnsi="Arial" w:cs="Arial"/>
          <w:sz w:val="24"/>
          <w:szCs w:val="24"/>
        </w:rPr>
      </w:pPr>
      <w:r w:rsidRPr="003B762A">
        <w:rPr>
          <w:rFonts w:ascii="Arial" w:hAnsi="Arial" w:cs="Arial"/>
          <w:sz w:val="24"/>
          <w:szCs w:val="24"/>
        </w:rPr>
        <w:t>Swollen painful joints, interfering with mobility and nonresponsive to medical intervention</w:t>
      </w:r>
    </w:p>
    <w:p w14:paraId="00B7EF07" w14:textId="77777777" w:rsidR="0015146C" w:rsidRPr="003B762A" w:rsidRDefault="0015146C" w:rsidP="00B7307B">
      <w:pPr>
        <w:pStyle w:val="ListParagraph"/>
        <w:numPr>
          <w:ilvl w:val="0"/>
          <w:numId w:val="23"/>
        </w:numPr>
        <w:spacing w:line="276" w:lineRule="auto"/>
        <w:ind w:left="1890"/>
        <w:contextualSpacing/>
        <w:rPr>
          <w:rFonts w:ascii="Arial" w:hAnsi="Arial" w:cs="Arial"/>
          <w:sz w:val="24"/>
          <w:szCs w:val="24"/>
        </w:rPr>
      </w:pPr>
      <w:r w:rsidRPr="003B762A">
        <w:rPr>
          <w:rFonts w:ascii="Arial" w:hAnsi="Arial" w:cs="Arial"/>
          <w:sz w:val="24"/>
          <w:szCs w:val="24"/>
        </w:rPr>
        <w:lastRenderedPageBreak/>
        <w:t>One or more skin ulcers that do not heal, depending upon the species and severity of the ulcers</w:t>
      </w:r>
    </w:p>
    <w:p w14:paraId="2B599C76" w14:textId="2675B1F2" w:rsidR="0015146C" w:rsidRDefault="0015146C" w:rsidP="00B7307B">
      <w:pPr>
        <w:pStyle w:val="ListParagraph"/>
        <w:numPr>
          <w:ilvl w:val="0"/>
          <w:numId w:val="23"/>
        </w:numPr>
        <w:ind w:left="1890"/>
        <w:contextualSpacing/>
        <w:rPr>
          <w:rFonts w:ascii="Arial" w:hAnsi="Arial" w:cs="Arial"/>
          <w:sz w:val="24"/>
          <w:szCs w:val="24"/>
        </w:rPr>
      </w:pPr>
      <w:r w:rsidRPr="003B762A">
        <w:rPr>
          <w:rFonts w:ascii="Arial" w:hAnsi="Arial" w:cs="Arial"/>
          <w:sz w:val="24"/>
          <w:szCs w:val="24"/>
        </w:rPr>
        <w:t>Mass with a size or location that interferes with normal function, greater than 15% of normal body weight, or that ulcerates with no evidence of healing</w:t>
      </w:r>
    </w:p>
    <w:p w14:paraId="0C384AFD" w14:textId="77777777" w:rsidR="008E5A04" w:rsidRDefault="008E5A04" w:rsidP="008E5A04">
      <w:pPr>
        <w:pStyle w:val="ListParagraph"/>
        <w:ind w:left="1980"/>
        <w:contextualSpacing/>
        <w:rPr>
          <w:rFonts w:ascii="Arial" w:hAnsi="Arial" w:cs="Arial"/>
          <w:sz w:val="24"/>
          <w:szCs w:val="24"/>
        </w:rPr>
      </w:pPr>
    </w:p>
    <w:p w14:paraId="26B068CF" w14:textId="7220D7F6" w:rsidR="00582681" w:rsidRDefault="00582681" w:rsidP="007E3C99">
      <w:pPr>
        <w:pStyle w:val="ListParagraph"/>
        <w:numPr>
          <w:ilvl w:val="0"/>
          <w:numId w:val="16"/>
        </w:numPr>
        <w:tabs>
          <w:tab w:val="left" w:pos="9000"/>
        </w:tabs>
        <w:ind w:left="720"/>
        <w:contextualSpacing/>
        <w:rPr>
          <w:rFonts w:ascii="Arial" w:hAnsi="Arial" w:cs="Arial"/>
          <w:sz w:val="24"/>
          <w:szCs w:val="24"/>
        </w:rPr>
      </w:pPr>
      <w:r w:rsidRPr="003B762A">
        <w:rPr>
          <w:rFonts w:ascii="Arial" w:hAnsi="Arial" w:cs="Arial"/>
          <w:sz w:val="24"/>
          <w:szCs w:val="24"/>
        </w:rPr>
        <w:t>Score Sheets /Pain &amp; Distress forms</w:t>
      </w:r>
    </w:p>
    <w:p w14:paraId="7109DE0B" w14:textId="77777777" w:rsidR="003B2B7F" w:rsidRPr="003B2B7F" w:rsidRDefault="003B2B7F" w:rsidP="003B2B7F">
      <w:pPr>
        <w:tabs>
          <w:tab w:val="left" w:pos="9000"/>
        </w:tabs>
        <w:ind w:left="360"/>
        <w:contextualSpacing/>
        <w:rPr>
          <w:rFonts w:ascii="Arial" w:hAnsi="Arial" w:cs="Arial"/>
        </w:rPr>
      </w:pPr>
    </w:p>
    <w:p w14:paraId="58B1A444" w14:textId="77777777" w:rsidR="00582681" w:rsidRPr="003B762A" w:rsidRDefault="00582681" w:rsidP="007E3C99">
      <w:pPr>
        <w:pStyle w:val="ListParagraph"/>
        <w:numPr>
          <w:ilvl w:val="1"/>
          <w:numId w:val="17"/>
        </w:numPr>
        <w:tabs>
          <w:tab w:val="left" w:pos="9000"/>
        </w:tabs>
        <w:ind w:left="1080"/>
        <w:contextualSpacing/>
        <w:rPr>
          <w:rFonts w:ascii="Arial" w:hAnsi="Arial" w:cs="Arial"/>
          <w:sz w:val="24"/>
          <w:szCs w:val="24"/>
        </w:rPr>
      </w:pPr>
      <w:r w:rsidRPr="003B762A">
        <w:rPr>
          <w:rFonts w:ascii="Arial" w:hAnsi="Arial" w:cs="Arial"/>
          <w:sz w:val="24"/>
          <w:szCs w:val="24"/>
        </w:rPr>
        <w:t>Score sheets are important tools that may be used for identifying and recording clinical signs and laboratory results (e.g., hematology, clinical chemistries, biomarkers etc.,) indicative of impact on pain or distress that can be used for timely decision-making for humane intervention.</w:t>
      </w:r>
    </w:p>
    <w:p w14:paraId="31F7A117" w14:textId="77777777" w:rsidR="00582681" w:rsidRPr="003B762A"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003B762A">
        <w:rPr>
          <w:rFonts w:ascii="Arial" w:hAnsi="Arial" w:cs="Arial"/>
          <w:sz w:val="24"/>
          <w:szCs w:val="24"/>
        </w:rPr>
        <w:t xml:space="preserve">The clinical signs/laboratory results included in the score sheet should be relevant to the potential responses anticipated for the age, species, </w:t>
      </w:r>
      <w:proofErr w:type="gramStart"/>
      <w:r w:rsidRPr="003B762A">
        <w:rPr>
          <w:rFonts w:ascii="Arial" w:hAnsi="Arial" w:cs="Arial"/>
          <w:sz w:val="24"/>
          <w:szCs w:val="24"/>
        </w:rPr>
        <w:t>strain</w:t>
      </w:r>
      <w:proofErr w:type="gramEnd"/>
      <w:r w:rsidRPr="003B762A">
        <w:rPr>
          <w:rFonts w:ascii="Arial" w:hAnsi="Arial" w:cs="Arial"/>
          <w:sz w:val="24"/>
          <w:szCs w:val="24"/>
        </w:rPr>
        <w:t xml:space="preserve"> and breed of animal being used.</w:t>
      </w:r>
    </w:p>
    <w:p w14:paraId="03EBC7C6" w14:textId="618BEF53" w:rsidR="00582681" w:rsidRPr="003B762A"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003B762A">
        <w:rPr>
          <w:rFonts w:ascii="Arial" w:hAnsi="Arial" w:cs="Arial"/>
          <w:sz w:val="24"/>
          <w:szCs w:val="24"/>
        </w:rPr>
        <w:t>When established animal models are used, the score sheets should include a progression of increasing severity of clinical signs typical for that model</w:t>
      </w:r>
      <w:r w:rsidR="00E51BCC">
        <w:rPr>
          <w:rFonts w:ascii="Arial" w:hAnsi="Arial" w:cs="Arial"/>
          <w:sz w:val="24"/>
          <w:szCs w:val="24"/>
        </w:rPr>
        <w:t>.</w:t>
      </w:r>
      <w:r w:rsidRPr="003B762A">
        <w:rPr>
          <w:rFonts w:ascii="Arial" w:hAnsi="Arial" w:cs="Arial"/>
          <w:sz w:val="24"/>
          <w:szCs w:val="24"/>
        </w:rPr>
        <w:t xml:space="preserve"> </w:t>
      </w:r>
    </w:p>
    <w:p w14:paraId="075BB74C" w14:textId="77777777" w:rsidR="00582681" w:rsidRPr="003B762A"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003B762A">
        <w:rPr>
          <w:rFonts w:ascii="Arial" w:hAnsi="Arial" w:cs="Arial"/>
          <w:sz w:val="24"/>
          <w:szCs w:val="24"/>
        </w:rPr>
        <w:t>Observations should be based on monitoring the animals both at rest and after gentle stimulation.</w:t>
      </w:r>
    </w:p>
    <w:p w14:paraId="64939335" w14:textId="60363400" w:rsidR="00582681" w:rsidRPr="003B762A"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413AC76C">
        <w:rPr>
          <w:rFonts w:ascii="Arial" w:hAnsi="Arial" w:cs="Arial"/>
          <w:sz w:val="24"/>
          <w:szCs w:val="24"/>
        </w:rPr>
        <w:t>The signs can be scored as present (+) or absent (-) or given a numerical value</w:t>
      </w:r>
      <w:r w:rsidR="4BAEC63E" w:rsidRPr="413AC76C">
        <w:rPr>
          <w:rFonts w:ascii="Arial" w:hAnsi="Arial" w:cs="Arial"/>
          <w:sz w:val="24"/>
          <w:szCs w:val="24"/>
        </w:rPr>
        <w:t>.</w:t>
      </w:r>
    </w:p>
    <w:p w14:paraId="0C8345BA" w14:textId="77777777" w:rsidR="00582681" w:rsidRPr="003B762A"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003B762A">
        <w:rPr>
          <w:rFonts w:ascii="Arial" w:hAnsi="Arial" w:cs="Arial"/>
          <w:sz w:val="24"/>
          <w:szCs w:val="24"/>
        </w:rPr>
        <w:t xml:space="preserve">The cumulative score for the presenting signs may give an overall impression of animal well-being. </w:t>
      </w:r>
    </w:p>
    <w:p w14:paraId="2316B282" w14:textId="3D37CE61" w:rsidR="00582681" w:rsidRDefault="00582681" w:rsidP="007E3C99">
      <w:pPr>
        <w:pStyle w:val="ListParagraph"/>
        <w:numPr>
          <w:ilvl w:val="1"/>
          <w:numId w:val="17"/>
        </w:numPr>
        <w:tabs>
          <w:tab w:val="left" w:pos="9000"/>
        </w:tabs>
        <w:spacing w:line="276" w:lineRule="auto"/>
        <w:ind w:left="1080"/>
        <w:contextualSpacing/>
        <w:rPr>
          <w:rFonts w:ascii="Arial" w:hAnsi="Arial" w:cs="Arial"/>
          <w:sz w:val="24"/>
          <w:szCs w:val="24"/>
        </w:rPr>
      </w:pPr>
      <w:r w:rsidRPr="413AC76C">
        <w:rPr>
          <w:rFonts w:ascii="Arial" w:hAnsi="Arial" w:cs="Arial"/>
          <w:sz w:val="24"/>
          <w:szCs w:val="24"/>
        </w:rPr>
        <w:t xml:space="preserve">Persistence of a combination of two or three minor signs over a specific </w:t>
      </w:r>
      <w:proofErr w:type="gramStart"/>
      <w:r w:rsidRPr="413AC76C">
        <w:rPr>
          <w:rFonts w:ascii="Arial" w:hAnsi="Arial" w:cs="Arial"/>
          <w:sz w:val="24"/>
          <w:szCs w:val="24"/>
        </w:rPr>
        <w:t>time period</w:t>
      </w:r>
      <w:proofErr w:type="gramEnd"/>
      <w:r w:rsidRPr="413AC76C">
        <w:rPr>
          <w:rFonts w:ascii="Arial" w:hAnsi="Arial" w:cs="Arial"/>
          <w:sz w:val="24"/>
          <w:szCs w:val="24"/>
        </w:rPr>
        <w:t xml:space="preserve"> or a single major sign may be sufficient to indicate the need for immediate euthanasia.</w:t>
      </w:r>
    </w:p>
    <w:p w14:paraId="657CBDEB" w14:textId="49B52B63" w:rsidR="74E71893" w:rsidRDefault="74E71893" w:rsidP="413AC76C">
      <w:pPr>
        <w:pStyle w:val="ListParagraph"/>
        <w:numPr>
          <w:ilvl w:val="1"/>
          <w:numId w:val="17"/>
        </w:numPr>
        <w:tabs>
          <w:tab w:val="left" w:pos="9000"/>
        </w:tabs>
        <w:spacing w:line="276" w:lineRule="auto"/>
        <w:ind w:left="1080"/>
        <w:contextualSpacing/>
        <w:rPr>
          <w:sz w:val="24"/>
          <w:szCs w:val="24"/>
        </w:rPr>
      </w:pPr>
      <w:r w:rsidRPr="413AC76C">
        <w:rPr>
          <w:rFonts w:ascii="Arial" w:hAnsi="Arial" w:cs="Arial"/>
          <w:sz w:val="24"/>
          <w:szCs w:val="24"/>
        </w:rPr>
        <w:t>Written records of monitoring sessions should indicate the identity of the animals including the protocol number, time of observations, initials</w:t>
      </w:r>
      <w:r w:rsidR="22D09B6D" w:rsidRPr="413AC76C">
        <w:rPr>
          <w:rFonts w:ascii="Arial" w:hAnsi="Arial" w:cs="Arial"/>
          <w:sz w:val="24"/>
          <w:szCs w:val="24"/>
        </w:rPr>
        <w:t xml:space="preserve"> of the person performing the observations, the number of animals exhibiting clinically </w:t>
      </w:r>
      <w:r w:rsidR="35032AB3" w:rsidRPr="413AC76C">
        <w:rPr>
          <w:rFonts w:ascii="Arial" w:hAnsi="Arial" w:cs="Arial"/>
          <w:sz w:val="24"/>
          <w:szCs w:val="24"/>
        </w:rPr>
        <w:t>abnormal behavior</w:t>
      </w:r>
      <w:r w:rsidR="22D09B6D" w:rsidRPr="413AC76C">
        <w:rPr>
          <w:rFonts w:ascii="Arial" w:hAnsi="Arial" w:cs="Arial"/>
          <w:sz w:val="24"/>
          <w:szCs w:val="24"/>
        </w:rPr>
        <w:t xml:space="preserve"> or death, </w:t>
      </w:r>
      <w:r w:rsidR="045C41DF" w:rsidRPr="413AC76C">
        <w:rPr>
          <w:rFonts w:ascii="Arial" w:hAnsi="Arial" w:cs="Arial"/>
          <w:sz w:val="24"/>
          <w:szCs w:val="24"/>
        </w:rPr>
        <w:t>and any intervention performed to alleviate pain and/or distress. These records should be maintained in the animal housing room</w:t>
      </w:r>
      <w:r w:rsidR="3FC27BC3" w:rsidRPr="413AC76C">
        <w:rPr>
          <w:rFonts w:ascii="Arial" w:hAnsi="Arial" w:cs="Arial"/>
          <w:sz w:val="24"/>
          <w:szCs w:val="24"/>
        </w:rPr>
        <w:t>,</w:t>
      </w:r>
      <w:r w:rsidR="765E4581" w:rsidRPr="413AC76C">
        <w:rPr>
          <w:rFonts w:ascii="Arial" w:hAnsi="Arial" w:cs="Arial"/>
          <w:sz w:val="24"/>
          <w:szCs w:val="24"/>
        </w:rPr>
        <w:t xml:space="preserve"> to serve as a method of communication with the ARC staff and AV</w:t>
      </w:r>
      <w:r w:rsidR="1EF7215D" w:rsidRPr="413AC76C">
        <w:rPr>
          <w:rFonts w:ascii="Arial" w:hAnsi="Arial" w:cs="Arial"/>
          <w:sz w:val="24"/>
          <w:szCs w:val="24"/>
        </w:rPr>
        <w:t>,</w:t>
      </w:r>
      <w:r w:rsidR="765E4581" w:rsidRPr="413AC76C">
        <w:rPr>
          <w:rFonts w:ascii="Arial" w:hAnsi="Arial" w:cs="Arial"/>
          <w:sz w:val="24"/>
          <w:szCs w:val="24"/>
        </w:rPr>
        <w:t xml:space="preserve"> until the conclusion of the experiment and should be m</w:t>
      </w:r>
      <w:r w:rsidR="225399A9" w:rsidRPr="413AC76C">
        <w:rPr>
          <w:rFonts w:ascii="Arial" w:hAnsi="Arial" w:cs="Arial"/>
          <w:sz w:val="24"/>
          <w:szCs w:val="24"/>
        </w:rPr>
        <w:t>ade available to the IACUC upon request.</w:t>
      </w:r>
      <w:r w:rsidR="765E4581" w:rsidRPr="413AC76C">
        <w:rPr>
          <w:rFonts w:ascii="Arial" w:hAnsi="Arial" w:cs="Arial"/>
          <w:sz w:val="24"/>
          <w:szCs w:val="24"/>
        </w:rPr>
        <w:t xml:space="preserve"> </w:t>
      </w:r>
    </w:p>
    <w:p w14:paraId="20F53F39" w14:textId="1E32CC06" w:rsidR="00BA3392" w:rsidRDefault="00BA3392">
      <w:pPr>
        <w:spacing w:after="160" w:line="259" w:lineRule="auto"/>
        <w:rPr>
          <w:rFonts w:ascii="Arial" w:hAnsi="Arial" w:cs="Arial"/>
        </w:rPr>
      </w:pPr>
      <w:r>
        <w:rPr>
          <w:rFonts w:ascii="Arial" w:hAnsi="Arial" w:cs="Arial"/>
        </w:rPr>
        <w:br w:type="page"/>
      </w:r>
    </w:p>
    <w:p w14:paraId="3366387F" w14:textId="77777777" w:rsidR="00BD02A9" w:rsidRPr="003B762A" w:rsidRDefault="00BD02A9" w:rsidP="00D531EC">
      <w:pPr>
        <w:spacing w:after="200" w:line="276" w:lineRule="auto"/>
        <w:ind w:left="1080" w:hanging="360"/>
        <w:contextualSpacing/>
        <w:rPr>
          <w:rFonts w:ascii="Arial" w:hAnsi="Arial" w:cs="Arial"/>
        </w:rPr>
      </w:pPr>
    </w:p>
    <w:p w14:paraId="5DC20B31" w14:textId="77777777" w:rsidR="00582681" w:rsidRPr="003B762A" w:rsidRDefault="00582681" w:rsidP="007E3C99">
      <w:pPr>
        <w:pStyle w:val="ListParagraph"/>
        <w:numPr>
          <w:ilvl w:val="0"/>
          <w:numId w:val="16"/>
        </w:numPr>
        <w:tabs>
          <w:tab w:val="left" w:pos="2970"/>
        </w:tabs>
        <w:spacing w:after="200" w:line="276" w:lineRule="auto"/>
        <w:ind w:left="720"/>
        <w:contextualSpacing/>
        <w:rPr>
          <w:rFonts w:ascii="Arial" w:hAnsi="Arial" w:cs="Arial"/>
          <w:sz w:val="24"/>
          <w:szCs w:val="24"/>
        </w:rPr>
      </w:pPr>
      <w:r w:rsidRPr="003B762A">
        <w:rPr>
          <w:rFonts w:ascii="Arial" w:hAnsi="Arial" w:cs="Arial"/>
          <w:sz w:val="24"/>
          <w:szCs w:val="24"/>
        </w:rPr>
        <w:t>Pilot Studies</w:t>
      </w:r>
    </w:p>
    <w:p w14:paraId="783446F7" w14:textId="26DC0E56" w:rsidR="00582681" w:rsidRPr="003B762A" w:rsidRDefault="00582681" w:rsidP="007E3C99">
      <w:pPr>
        <w:pStyle w:val="ListParagraph"/>
        <w:numPr>
          <w:ilvl w:val="1"/>
          <w:numId w:val="18"/>
        </w:numPr>
        <w:spacing w:after="200" w:line="276" w:lineRule="auto"/>
        <w:ind w:left="1080"/>
        <w:contextualSpacing/>
        <w:rPr>
          <w:rFonts w:ascii="Arial" w:hAnsi="Arial" w:cs="Arial"/>
          <w:sz w:val="24"/>
          <w:szCs w:val="24"/>
        </w:rPr>
      </w:pPr>
      <w:r w:rsidRPr="2C6D1BE5">
        <w:rPr>
          <w:rFonts w:ascii="Arial" w:hAnsi="Arial" w:cs="Arial"/>
          <w:sz w:val="24"/>
          <w:szCs w:val="24"/>
        </w:rPr>
        <w:t xml:space="preserve">When novel studies are proposed and information on a procedure’s effect on animals is limited or unavailable, or humane endpoints cannot be identified or defined, a pilot study may </w:t>
      </w:r>
      <w:r w:rsidR="107A509A" w:rsidRPr="2C6D1BE5">
        <w:rPr>
          <w:rFonts w:ascii="Arial" w:hAnsi="Arial" w:cs="Arial"/>
          <w:sz w:val="24"/>
          <w:szCs w:val="24"/>
        </w:rPr>
        <w:t>be recommended</w:t>
      </w:r>
      <w:r w:rsidRPr="2C6D1BE5">
        <w:rPr>
          <w:rFonts w:ascii="Arial" w:hAnsi="Arial" w:cs="Arial"/>
          <w:sz w:val="24"/>
          <w:szCs w:val="24"/>
        </w:rPr>
        <w:t xml:space="preserve"> or required by the IACUC</w:t>
      </w:r>
      <w:r w:rsidR="75048369" w:rsidRPr="2C6D1BE5">
        <w:rPr>
          <w:rFonts w:ascii="Arial" w:hAnsi="Arial" w:cs="Arial"/>
          <w:sz w:val="24"/>
          <w:szCs w:val="24"/>
        </w:rPr>
        <w:t xml:space="preserve">. </w:t>
      </w:r>
    </w:p>
    <w:p w14:paraId="08936EB7" w14:textId="6437743F" w:rsidR="00582681" w:rsidRPr="003B762A" w:rsidRDefault="00582681" w:rsidP="007E3C99">
      <w:pPr>
        <w:pStyle w:val="ListParagraph"/>
        <w:numPr>
          <w:ilvl w:val="1"/>
          <w:numId w:val="18"/>
        </w:numPr>
        <w:spacing w:after="200" w:line="276" w:lineRule="auto"/>
        <w:ind w:left="1080"/>
        <w:contextualSpacing/>
        <w:rPr>
          <w:rFonts w:ascii="Arial" w:hAnsi="Arial" w:cs="Arial"/>
          <w:sz w:val="24"/>
          <w:szCs w:val="24"/>
        </w:rPr>
      </w:pPr>
      <w:r w:rsidRPr="003B762A">
        <w:rPr>
          <w:rFonts w:ascii="Arial" w:hAnsi="Arial" w:cs="Arial"/>
          <w:sz w:val="24"/>
          <w:szCs w:val="24"/>
        </w:rPr>
        <w:t xml:space="preserve">When such pilot studies are approved by the IACUC, the IACUC must be informed of outcomes (e.g., morbidity/mortality) as described in the approved protocol, and the protocol must be amended to include requirements related to animal monitoring and humane endpoints determined </w:t>
      </w:r>
      <w:r w:rsidR="00B7307B">
        <w:rPr>
          <w:rFonts w:ascii="Arial" w:hAnsi="Arial" w:cs="Arial"/>
          <w:sz w:val="24"/>
          <w:szCs w:val="24"/>
        </w:rPr>
        <w:t xml:space="preserve">by the </w:t>
      </w:r>
      <w:r w:rsidRPr="003B762A">
        <w:rPr>
          <w:rFonts w:ascii="Arial" w:hAnsi="Arial" w:cs="Arial"/>
          <w:sz w:val="24"/>
          <w:szCs w:val="24"/>
        </w:rPr>
        <w:t xml:space="preserve">pilot study. </w:t>
      </w:r>
    </w:p>
    <w:p w14:paraId="1B0B150F" w14:textId="77777777" w:rsidR="00582681" w:rsidRPr="003B762A" w:rsidRDefault="00582681" w:rsidP="007E3C99">
      <w:pPr>
        <w:pStyle w:val="ListParagraph"/>
        <w:numPr>
          <w:ilvl w:val="1"/>
          <w:numId w:val="18"/>
        </w:numPr>
        <w:spacing w:after="200" w:line="276" w:lineRule="auto"/>
        <w:ind w:left="1080"/>
        <w:contextualSpacing/>
        <w:rPr>
          <w:rFonts w:ascii="Arial" w:hAnsi="Arial" w:cs="Arial"/>
          <w:sz w:val="24"/>
          <w:szCs w:val="24"/>
        </w:rPr>
      </w:pPr>
      <w:r w:rsidRPr="003B762A">
        <w:rPr>
          <w:rFonts w:ascii="Arial" w:hAnsi="Arial" w:cs="Arial"/>
          <w:sz w:val="24"/>
          <w:szCs w:val="24"/>
        </w:rPr>
        <w:t>Regular observations of the animals throughout a pilot study are required to identify critical periods during the experiment when the animals’ well-being will be especially at risk.</w:t>
      </w:r>
    </w:p>
    <w:p w14:paraId="2BBCA35A" w14:textId="78C1302B" w:rsidR="00417F59" w:rsidRDefault="00417F59" w:rsidP="007E3C99">
      <w:pPr>
        <w:pStyle w:val="ListParagraph"/>
        <w:numPr>
          <w:ilvl w:val="0"/>
          <w:numId w:val="19"/>
        </w:numPr>
        <w:tabs>
          <w:tab w:val="left" w:pos="360"/>
        </w:tabs>
        <w:ind w:left="180" w:hanging="180"/>
        <w:rPr>
          <w:rFonts w:ascii="Arial" w:hAnsi="Arial" w:cs="Arial"/>
          <w:sz w:val="24"/>
          <w:szCs w:val="24"/>
        </w:rPr>
      </w:pPr>
      <w:r w:rsidRPr="008D5F9D">
        <w:rPr>
          <w:rFonts w:ascii="Arial" w:hAnsi="Arial" w:cs="Arial"/>
          <w:sz w:val="24"/>
          <w:szCs w:val="24"/>
        </w:rPr>
        <w:t>References</w:t>
      </w:r>
    </w:p>
    <w:p w14:paraId="2661DAEF" w14:textId="46D90595" w:rsidR="00E27E71" w:rsidRPr="00302B85" w:rsidRDefault="00000000" w:rsidP="00007814">
      <w:pPr>
        <w:ind w:firstLine="360"/>
        <w:rPr>
          <w:rFonts w:ascii="Arial" w:eastAsia="Times New Roman" w:hAnsi="Arial" w:cs="Arial"/>
        </w:rPr>
      </w:pPr>
      <w:hyperlink r:id="rId10" w:history="1">
        <w:r w:rsidR="00E27E71" w:rsidRPr="006A7C61">
          <w:rPr>
            <w:rStyle w:val="Hyperlink"/>
            <w:rFonts w:ascii="Arial" w:eastAsia="Times New Roman" w:hAnsi="Arial" w:cs="Arial"/>
          </w:rPr>
          <w:t>https://www.humane-endpoints.info/en</w:t>
        </w:r>
      </w:hyperlink>
    </w:p>
    <w:p w14:paraId="7ED3825E"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ICCVAM Authorization Act of 2000: Public Law 106-545</w:t>
      </w:r>
    </w:p>
    <w:p w14:paraId="133D45B7"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ILAR (2000) Humane Endpoints for Animals Used in Biomedical Research and Testing. ILAR Journal, 41(2)</w:t>
      </w:r>
    </w:p>
    <w:p w14:paraId="30A830CF"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ILAR (2002</w:t>
      </w:r>
      <w:proofErr w:type="gramStart"/>
      <w:r w:rsidRPr="00A52C38">
        <w:rPr>
          <w:rFonts w:ascii="Arial" w:eastAsia="Times New Roman" w:hAnsi="Arial" w:cs="Arial"/>
        </w:rPr>
        <w:t>).Proceedings</w:t>
      </w:r>
      <w:proofErr w:type="gramEnd"/>
      <w:r w:rsidRPr="00A52C38">
        <w:rPr>
          <w:rFonts w:ascii="Arial" w:eastAsia="Times New Roman" w:hAnsi="Arial" w:cs="Arial"/>
        </w:rPr>
        <w:t xml:space="preserve"> of the ICLAS/CCAS International Symposium on Regulatory Testing and Animal Welfare. ILAR Journal, 43 (Suppl.) </w:t>
      </w:r>
    </w:p>
    <w:p w14:paraId="3F6538EF" w14:textId="4E8C6123" w:rsidR="00417F59" w:rsidRPr="00A52C38" w:rsidRDefault="00417F59" w:rsidP="00302B85">
      <w:pPr>
        <w:ind w:left="720" w:hanging="360"/>
        <w:rPr>
          <w:rFonts w:ascii="Arial" w:eastAsia="Times New Roman" w:hAnsi="Arial" w:cs="Arial"/>
        </w:rPr>
      </w:pPr>
      <w:proofErr w:type="spellStart"/>
      <w:r w:rsidRPr="00A52C38">
        <w:rPr>
          <w:rFonts w:ascii="Arial" w:eastAsia="Times New Roman" w:hAnsi="Arial" w:cs="Arial"/>
        </w:rPr>
        <w:t>Lockworth</w:t>
      </w:r>
      <w:proofErr w:type="spellEnd"/>
      <w:r w:rsidRPr="00A52C38">
        <w:rPr>
          <w:rFonts w:ascii="Arial" w:eastAsia="Times New Roman" w:hAnsi="Arial" w:cs="Arial"/>
        </w:rPr>
        <w:t>, C.R., S. L. Craig, J. Liu, P. T. Tinker. (2011) “Training Veterinary Care Technicians and Husbandry Staff Improves Animal Care”. Journal of American Association for Laboratory Animal Science. Vol. 50 (1) Pages 84-93.</w:t>
      </w:r>
    </w:p>
    <w:p w14:paraId="29460A75"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Montgomery, C.A. (1990). Oncologic and toxicology research: Alleviation and control of pain and distress in laboratory animals. Cancer Bulletin, 42(4): 230-237.</w:t>
      </w:r>
    </w:p>
    <w:p w14:paraId="7F0BF7FA"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Morton, D. B and J. Hua, (2011) “Welfare Assessment and Humane End Points” Handbook of Laboratory Animal Science, 3rd Edition</w:t>
      </w:r>
    </w:p>
    <w:p w14:paraId="09352AFC"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 xml:space="preserve">National Research Council, (2009) Recognition and Alleviation of Pain in Laboratory Animals National Academies Press, Washington, DC </w:t>
      </w:r>
    </w:p>
    <w:p w14:paraId="49293FBC" w14:textId="77777777" w:rsidR="00417F59" w:rsidRPr="00A52C38" w:rsidRDefault="00417F59" w:rsidP="00302B85">
      <w:pPr>
        <w:ind w:left="720" w:hanging="360"/>
        <w:rPr>
          <w:rFonts w:ascii="Arial" w:eastAsia="Times New Roman" w:hAnsi="Arial" w:cs="Arial"/>
        </w:rPr>
      </w:pPr>
      <w:r w:rsidRPr="00A52C38">
        <w:rPr>
          <w:rFonts w:ascii="Arial" w:eastAsia="Times New Roman" w:hAnsi="Arial" w:cs="Arial"/>
        </w:rPr>
        <w:t>NIH Revitalization Act of 1993: Public Law 103-43.</w:t>
      </w:r>
    </w:p>
    <w:p w14:paraId="4E7EDC8C" w14:textId="77777777" w:rsidR="00417F59" w:rsidRPr="00417F59" w:rsidRDefault="00417F59" w:rsidP="00302B85">
      <w:pPr>
        <w:ind w:left="720" w:hanging="360"/>
        <w:rPr>
          <w:rFonts w:ascii="Arial" w:eastAsia="Times New Roman" w:hAnsi="Arial" w:cs="Arial"/>
        </w:rPr>
      </w:pPr>
      <w:r w:rsidRPr="00417F59">
        <w:rPr>
          <w:rFonts w:ascii="Arial" w:eastAsia="Times New Roman" w:hAnsi="Arial" w:cs="Arial"/>
        </w:rPr>
        <w:t xml:space="preserve">OECD Guidance Document: Recognition, Assessment, and Use of Clinical Signs as Humane Endpoints for Experimental Animal s Used in Safety Evaluation (OECD, 2000) Paris </w:t>
      </w:r>
    </w:p>
    <w:p w14:paraId="73DFCB1C" w14:textId="77777777" w:rsidR="00417F59" w:rsidRPr="00417F59" w:rsidRDefault="00417F59" w:rsidP="00302B85">
      <w:pPr>
        <w:ind w:left="720" w:hanging="360"/>
        <w:rPr>
          <w:rFonts w:ascii="Arial" w:eastAsia="Times New Roman" w:hAnsi="Arial" w:cs="Arial"/>
        </w:rPr>
      </w:pPr>
      <w:r w:rsidRPr="00417F59">
        <w:rPr>
          <w:rFonts w:ascii="Arial" w:eastAsia="Times New Roman" w:hAnsi="Arial" w:cs="Arial"/>
        </w:rPr>
        <w:t>Ray, M.A., N.A. Johnston, S. Verhulst, R. A. Trammell, L.A. Toth, (2010). “Identification of Markers for Imminent Death in Mice Used in Longevity and Aging Research. Journal of American Association for Laboratory Animal Science Vol. 49 (3). P 282-288.</w:t>
      </w:r>
    </w:p>
    <w:p w14:paraId="6B7FF2B8" w14:textId="77777777" w:rsidR="00417F59" w:rsidRPr="00417F59" w:rsidRDefault="00417F59" w:rsidP="00302B85">
      <w:pPr>
        <w:ind w:left="720" w:hanging="360"/>
        <w:rPr>
          <w:rFonts w:ascii="Arial" w:eastAsia="Times New Roman" w:hAnsi="Arial" w:cs="Arial"/>
        </w:rPr>
      </w:pPr>
      <w:r w:rsidRPr="00417F59">
        <w:rPr>
          <w:rFonts w:ascii="Arial" w:eastAsia="Times New Roman" w:hAnsi="Arial" w:cs="Arial"/>
        </w:rPr>
        <w:t xml:space="preserve">Stokes, W.  (2005) “Humane Endpoints for Animals Used in Biomedical Research and Testing: Best Practices, Policies, and Progress in the U.S.  Proceedings of the 2nd International Conference on the Use of Humane Endpoints in Animal Experiments for Biomedical Research. Berlin, Germany </w:t>
      </w:r>
    </w:p>
    <w:p w14:paraId="268F7F4C" w14:textId="6F6E5678" w:rsidR="00417F59" w:rsidRPr="00417F59" w:rsidRDefault="00417F59" w:rsidP="00775414">
      <w:pPr>
        <w:ind w:left="810" w:hanging="360"/>
        <w:rPr>
          <w:rFonts w:ascii="Arial" w:eastAsia="Times New Roman" w:hAnsi="Arial" w:cs="Arial"/>
        </w:rPr>
      </w:pPr>
      <w:r w:rsidRPr="00417F59">
        <w:rPr>
          <w:rFonts w:ascii="Arial" w:eastAsia="Times New Roman" w:hAnsi="Arial" w:cs="Arial"/>
        </w:rPr>
        <w:lastRenderedPageBreak/>
        <w:t xml:space="preserve">Stokes, W.S. 2000. Humane Endpoints for Laboratory Animals Used in Toxicity </w:t>
      </w:r>
      <w:proofErr w:type="spellStart"/>
      <w:r w:rsidRPr="00417F59">
        <w:rPr>
          <w:rFonts w:ascii="Arial" w:eastAsia="Times New Roman" w:hAnsi="Arial" w:cs="Arial"/>
        </w:rPr>
        <w:t>Testing.Progress</w:t>
      </w:r>
      <w:proofErr w:type="spellEnd"/>
      <w:r w:rsidRPr="00417F59">
        <w:rPr>
          <w:rFonts w:ascii="Arial" w:eastAsia="Times New Roman" w:hAnsi="Arial" w:cs="Arial"/>
        </w:rPr>
        <w:t xml:space="preserve"> in the Reduction, Refinement, and Replacement of Animal Experimentation. Balls, M., van Zeller, A.M., Halder, M. (eds.) Amsterdam: Elsevier Sciences</w:t>
      </w:r>
    </w:p>
    <w:p w14:paraId="6A134339" w14:textId="77777777" w:rsidR="00417F59" w:rsidRPr="00417F59" w:rsidRDefault="00417F59" w:rsidP="00C641A4">
      <w:pPr>
        <w:ind w:left="810" w:hanging="360"/>
        <w:rPr>
          <w:rFonts w:ascii="Arial" w:eastAsia="Times New Roman" w:hAnsi="Arial" w:cs="Arial"/>
        </w:rPr>
      </w:pPr>
      <w:r w:rsidRPr="00417F59">
        <w:rPr>
          <w:rFonts w:ascii="Arial" w:eastAsia="Times New Roman" w:hAnsi="Arial" w:cs="Arial"/>
        </w:rPr>
        <w:t>Stokes, W.S. 2000.  Reducing Unrelieved Pain and Distress in Laboratory Animals Using Humane Endpoints. ILAR J 41:59-61.</w:t>
      </w:r>
    </w:p>
    <w:p w14:paraId="0F3E1644" w14:textId="77777777" w:rsidR="00EC353D" w:rsidRDefault="00417F59" w:rsidP="00EC353D">
      <w:pPr>
        <w:ind w:left="810" w:hanging="360"/>
        <w:rPr>
          <w:rFonts w:ascii="Arial" w:eastAsia="Times New Roman" w:hAnsi="Arial" w:cs="Arial"/>
        </w:rPr>
      </w:pPr>
      <w:r w:rsidRPr="00417F59">
        <w:rPr>
          <w:rFonts w:ascii="Arial" w:eastAsia="Times New Roman" w:hAnsi="Arial" w:cs="Arial"/>
        </w:rPr>
        <w:t>USDA Center for Veterinary Biologics Notice No. 04-09, April 1, 2004</w:t>
      </w:r>
    </w:p>
    <w:p w14:paraId="60BA46D3" w14:textId="227D8533" w:rsidR="006A3BC1" w:rsidRPr="00B07BC2" w:rsidRDefault="00417F59" w:rsidP="00EC353D">
      <w:pPr>
        <w:ind w:left="810" w:hanging="360"/>
        <w:rPr>
          <w:rFonts w:ascii="Arial" w:eastAsia="Times New Roman" w:hAnsi="Arial" w:cs="Arial"/>
        </w:rPr>
      </w:pPr>
      <w:r w:rsidRPr="00417F59">
        <w:rPr>
          <w:rFonts w:ascii="Arial" w:eastAsia="Times New Roman" w:hAnsi="Arial" w:cs="Arial"/>
        </w:rPr>
        <w:t>U.S.</w:t>
      </w:r>
      <w:r w:rsidR="007E75C7">
        <w:rPr>
          <w:rFonts w:ascii="Arial" w:eastAsia="Times New Roman" w:hAnsi="Arial" w:cs="Arial"/>
        </w:rPr>
        <w:t xml:space="preserve"> </w:t>
      </w:r>
      <w:r w:rsidRPr="00417F59">
        <w:rPr>
          <w:rFonts w:ascii="Arial" w:eastAsia="Times New Roman" w:hAnsi="Arial" w:cs="Arial"/>
        </w:rPr>
        <w:t>Government Principles for the Utilization and Care of Vertebrate Animals Used in Testing, Research, and Training/Appendices</w:t>
      </w:r>
    </w:p>
    <w:p w14:paraId="57C2605B" w14:textId="2AA1FF65" w:rsidR="003D3C79" w:rsidRPr="00302B85" w:rsidRDefault="003D3C79" w:rsidP="00EC353D">
      <w:pPr>
        <w:ind w:left="810" w:hanging="360"/>
        <w:rPr>
          <w:rFonts w:ascii="Arial" w:hAnsi="Arial" w:cs="Arial"/>
        </w:rPr>
      </w:pPr>
      <w:r w:rsidRPr="00302B85">
        <w:rPr>
          <w:rFonts w:ascii="Arial" w:hAnsi="Arial" w:cs="Arial"/>
        </w:rPr>
        <w:t>National Institutes of Health. 2011.  Guide for the Care and Use of Laboratory Animals.  National Research Council, National Academy Press.</w:t>
      </w:r>
    </w:p>
    <w:p w14:paraId="5FC32845" w14:textId="2D4A3145" w:rsidR="006A3BC1" w:rsidRPr="00302B85" w:rsidRDefault="003D3C79" w:rsidP="00987EDB">
      <w:pPr>
        <w:ind w:left="810" w:hanging="360"/>
        <w:rPr>
          <w:rFonts w:ascii="Arial" w:hAnsi="Arial" w:cs="Arial"/>
        </w:rPr>
      </w:pPr>
      <w:r w:rsidRPr="00302B85">
        <w:rPr>
          <w:rFonts w:ascii="Arial" w:hAnsi="Arial" w:cs="Arial"/>
        </w:rPr>
        <w:t>Code of Federal Regulations. 1985.  Title 9; Subchapter A-Animal Welfare, Animal and Plant Health Inspection Service, Office of the Federal Registrar, Washington, D.C.</w:t>
      </w:r>
    </w:p>
    <w:p w14:paraId="03D7076B" w14:textId="77777777" w:rsidR="006A3BC1" w:rsidRPr="00B07BC2" w:rsidRDefault="006A3BC1" w:rsidP="006A3BC1">
      <w:pPr>
        <w:rPr>
          <w:rFonts w:ascii="Arial" w:hAnsi="Arial" w:cs="Arial"/>
        </w:rPr>
      </w:pPr>
    </w:p>
    <w:p w14:paraId="6B444672" w14:textId="1DD91D4D" w:rsidR="006A3BC1" w:rsidRPr="00B07BC2" w:rsidRDefault="006A3BC1">
      <w:pPr>
        <w:tabs>
          <w:tab w:val="left" w:pos="360"/>
        </w:tabs>
        <w:rPr>
          <w:rFonts w:ascii="Arial" w:hAnsi="Arial" w:cs="Arial"/>
          <w:b/>
        </w:rPr>
      </w:pPr>
    </w:p>
    <w:p w14:paraId="7AFBF40E" w14:textId="458A637F" w:rsidR="00ED27BE" w:rsidRPr="00B07BC2" w:rsidRDefault="003A121B" w:rsidP="003B762A">
      <w:pPr>
        <w:pStyle w:val="ListParagraph"/>
        <w:ind w:left="900"/>
        <w:rPr>
          <w:rFonts w:ascii="Arial" w:hAnsi="Arial" w:cs="Arial"/>
          <w:sz w:val="24"/>
          <w:szCs w:val="24"/>
        </w:rPr>
      </w:pPr>
      <w:r w:rsidRPr="00B07BC2">
        <w:rPr>
          <w:rFonts w:ascii="Arial" w:hAnsi="Arial" w:cs="Arial"/>
          <w:sz w:val="24"/>
          <w:szCs w:val="24"/>
        </w:rPr>
        <w:t xml:space="preserve">. </w:t>
      </w:r>
    </w:p>
    <w:sectPr w:rsidR="00ED27BE" w:rsidRPr="00B07BC2" w:rsidSect="002300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A2FB" w14:textId="77777777" w:rsidR="00464463" w:rsidRDefault="00464463" w:rsidP="004D6700">
      <w:r>
        <w:separator/>
      </w:r>
    </w:p>
  </w:endnote>
  <w:endnote w:type="continuationSeparator" w:id="0">
    <w:p w14:paraId="1C008435" w14:textId="77777777" w:rsidR="00464463" w:rsidRDefault="00464463" w:rsidP="004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61DF9DBE" w:rsidR="004D6700" w:rsidRDefault="004D6700" w:rsidP="004D6700">
    <w:pPr>
      <w:pStyle w:val="Footer"/>
    </w:pPr>
    <w:r>
      <w:t xml:space="preserve">IACUC Approval Date:  </w:t>
    </w:r>
    <w:r w:rsidR="00C6540A">
      <w:t>9</w:t>
    </w:r>
    <w:r>
      <w:t>/</w:t>
    </w:r>
    <w:r w:rsidR="00C6540A">
      <w:t>30</w:t>
    </w:r>
    <w:r>
      <w:t>/</w:t>
    </w:r>
    <w:r w:rsidR="00C6540A">
      <w:t>2015</w:t>
    </w:r>
  </w:p>
  <w:p w14:paraId="76314536" w14:textId="1CF597F2" w:rsidR="004D6700" w:rsidRDefault="004D6700" w:rsidP="004D6700">
    <w:pPr>
      <w:pStyle w:val="Footer"/>
    </w:pPr>
    <w:r>
      <w:t xml:space="preserve">Review Date:  </w:t>
    </w:r>
    <w:r w:rsidR="007E3C99">
      <w:t>2/16/2022</w:t>
    </w:r>
  </w:p>
  <w:p w14:paraId="5B392AB1" w14:textId="04EB4A20" w:rsidR="004D6700" w:rsidRDefault="004D6700" w:rsidP="004D6700">
    <w:pPr>
      <w:pStyle w:val="Footer"/>
    </w:pPr>
    <w:r>
      <w:t xml:space="preserve">Issue Date:  </w:t>
    </w:r>
    <w:r w:rsidR="000129EF">
      <w:t>2/21/2022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0406" w14:textId="77777777" w:rsidR="00464463" w:rsidRDefault="00464463" w:rsidP="004D6700">
      <w:r>
        <w:separator/>
      </w:r>
    </w:p>
  </w:footnote>
  <w:footnote w:type="continuationSeparator" w:id="0">
    <w:p w14:paraId="780FCFB9" w14:textId="77777777" w:rsidR="00464463" w:rsidRDefault="00464463" w:rsidP="004D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5003E06A" w:rsidR="004D6700" w:rsidRDefault="004D6700" w:rsidP="004D6700">
    <w:pPr>
      <w:jc w:val="center"/>
      <w:rPr>
        <w:b/>
        <w:color w:val="44546A" w:themeColor="text2"/>
        <w:sz w:val="22"/>
        <w:szCs w:val="22"/>
      </w:rPr>
    </w:pPr>
    <w:r w:rsidRPr="004D6700">
      <w:rPr>
        <w:b/>
        <w:color w:val="44546A" w:themeColor="text2"/>
        <w:sz w:val="22"/>
        <w:szCs w:val="22"/>
      </w:rPr>
      <w:t>Institutional Animal Care &amp; Use Committee</w:t>
    </w:r>
  </w:p>
  <w:p w14:paraId="3FC51767" w14:textId="08E025DD" w:rsidR="001E1D98" w:rsidRPr="003B762A" w:rsidRDefault="001E1D98" w:rsidP="004D6700">
    <w:pPr>
      <w:jc w:val="center"/>
      <w:rPr>
        <w:b/>
        <w:color w:val="44546A" w:themeColor="text2"/>
        <w:sz w:val="28"/>
        <w:szCs w:val="28"/>
      </w:rPr>
    </w:pPr>
    <w:r w:rsidRPr="003B762A">
      <w:rPr>
        <w:b/>
        <w:color w:val="44546A" w:themeColor="text2"/>
        <w:sz w:val="28"/>
        <w:szCs w:val="28"/>
      </w:rPr>
      <w:t>Humane Endpoints</w:t>
    </w:r>
    <w:r w:rsidR="00403608">
      <w:rPr>
        <w:b/>
        <w:color w:val="44546A" w:themeColor="text2"/>
        <w:sz w:val="28"/>
        <w:szCs w:val="28"/>
      </w:rPr>
      <w:t xml:space="preserve"> Guideline</w:t>
    </w:r>
  </w:p>
</w:hdr>
</file>

<file path=word/intelligence2.xml><?xml version="1.0" encoding="utf-8"?>
<int2:intelligence xmlns:int2="http://schemas.microsoft.com/office/intelligence/2020/intelligence" xmlns:oel="http://schemas.microsoft.com/office/2019/extlst">
  <int2:observations>
    <int2:textHash int2:hashCode="bZ2ZvDD0Ccaos/" int2:id="Z2wM5aJX">
      <int2:state int2:value="Rejected" int2:type="AugLoop_Text_Critique"/>
    </int2:textHash>
    <int2:textHash int2:hashCode="eQUTIwefT2ct/Y" int2:id="Nm0r0NwP">
      <int2:state int2:value="Rejected" int2:type="AugLoop_Text_Critique"/>
    </int2:textHash>
    <int2:textHash int2:hashCode="MTqFV2EEL7Dfi3" int2:id="vNzSOh3w">
      <int2:state int2:value="Rejected" int2:type="AugLoop_Text_Critique"/>
    </int2:textHash>
    <int2:bookmark int2:bookmarkName="_Int_jWYLhpSf" int2:invalidationBookmarkName="" int2:hashCode="RhSMw7TSs6yAc/" int2:id="Ggwqt81M">
      <int2:state int2:value="Rejected" int2:type="LegacyProofing"/>
    </int2:bookmark>
    <int2:bookmark int2:bookmarkName="_Int_sACqI9mX" int2:invalidationBookmarkName="" int2:hashCode="CKtdfNv4Kzb9xU" int2:id="sIHAIfP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FE"/>
    <w:multiLevelType w:val="hybridMultilevel"/>
    <w:tmpl w:val="730AE09C"/>
    <w:lvl w:ilvl="0" w:tplc="D5441912">
      <w:start w:val="1"/>
      <w:numFmt w:val="decimal"/>
      <w:lvlText w:val="%1."/>
      <w:lvlJc w:val="left"/>
      <w:pPr>
        <w:ind w:left="1800" w:hanging="360"/>
      </w:pPr>
      <w:rPr>
        <w:rFonts w:hint="default"/>
      </w:rPr>
    </w:lvl>
    <w:lvl w:ilvl="1" w:tplc="0409000F">
      <w:start w:val="1"/>
      <w:numFmt w:val="decimal"/>
      <w:lvlText w:val="%2."/>
      <w:lvlJc w:val="left"/>
      <w:pPr>
        <w:ind w:left="2700" w:hanging="360"/>
      </w:p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FC1D7C"/>
    <w:multiLevelType w:val="hybridMultilevel"/>
    <w:tmpl w:val="1F405B7E"/>
    <w:lvl w:ilvl="0" w:tplc="13DC45D2">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6E40"/>
    <w:multiLevelType w:val="hybridMultilevel"/>
    <w:tmpl w:val="DA64C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19">
      <w:start w:val="1"/>
      <w:numFmt w:val="lowerLetter"/>
      <w:lvlText w:val="%4."/>
      <w:lvlJc w:val="left"/>
      <w:pPr>
        <w:ind w:left="3600" w:hanging="360"/>
      </w:pPr>
    </w:lvl>
    <w:lvl w:ilvl="4" w:tplc="04090011">
      <w:start w:val="1"/>
      <w:numFmt w:val="decimal"/>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3035D8"/>
    <w:multiLevelType w:val="hybridMultilevel"/>
    <w:tmpl w:val="7FCE7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1">
      <w:start w:val="1"/>
      <w:numFmt w:val="decimal"/>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7855EA"/>
    <w:multiLevelType w:val="hybridMultilevel"/>
    <w:tmpl w:val="54861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841F0"/>
    <w:multiLevelType w:val="hybridMultilevel"/>
    <w:tmpl w:val="8CCC146E"/>
    <w:lvl w:ilvl="0" w:tplc="A74805DE">
      <w:start w:val="9"/>
      <w:numFmt w:val="decimal"/>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6205D"/>
    <w:multiLevelType w:val="hybridMultilevel"/>
    <w:tmpl w:val="7B7CB8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44F01A5"/>
    <w:multiLevelType w:val="hybridMultilevel"/>
    <w:tmpl w:val="1F405B7E"/>
    <w:lvl w:ilvl="0" w:tplc="13DC45D2">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673C3"/>
    <w:multiLevelType w:val="hybridMultilevel"/>
    <w:tmpl w:val="988E1204"/>
    <w:lvl w:ilvl="0" w:tplc="4BF8DFEE">
      <w:start w:val="5"/>
      <w:numFmt w:val="upperRoman"/>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00C86"/>
    <w:multiLevelType w:val="hybridMultilevel"/>
    <w:tmpl w:val="3394206C"/>
    <w:lvl w:ilvl="0" w:tplc="66E03870">
      <w:start w:val="6"/>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13F28"/>
    <w:multiLevelType w:val="hybridMultilevel"/>
    <w:tmpl w:val="50D46C5E"/>
    <w:lvl w:ilvl="0" w:tplc="52C6058E">
      <w:start w:val="4"/>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60176"/>
    <w:multiLevelType w:val="hybridMultilevel"/>
    <w:tmpl w:val="61AEBC82"/>
    <w:lvl w:ilvl="0" w:tplc="1EBEA1D2">
      <w:start w:val="2"/>
      <w:numFmt w:val="decimal"/>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14" w15:restartNumberingAfterBreak="0">
    <w:nsid w:val="58DE0CA8"/>
    <w:multiLevelType w:val="hybridMultilevel"/>
    <w:tmpl w:val="7C124B12"/>
    <w:lvl w:ilvl="0" w:tplc="03B8F3A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208BA"/>
    <w:multiLevelType w:val="hybridMultilevel"/>
    <w:tmpl w:val="115C3270"/>
    <w:lvl w:ilvl="0" w:tplc="E1D082A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7076A"/>
    <w:multiLevelType w:val="hybridMultilevel"/>
    <w:tmpl w:val="27F4312C"/>
    <w:lvl w:ilvl="0" w:tplc="04090011">
      <w:start w:val="1"/>
      <w:numFmt w:val="decimal"/>
      <w:lvlText w:val="%1)"/>
      <w:lvlJc w:val="lef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F0AD6"/>
    <w:multiLevelType w:val="hybridMultilevel"/>
    <w:tmpl w:val="C6B8186C"/>
    <w:lvl w:ilvl="0" w:tplc="C4CC5FEE">
      <w:start w:val="6"/>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F14C0"/>
    <w:multiLevelType w:val="hybridMultilevel"/>
    <w:tmpl w:val="DF94F644"/>
    <w:lvl w:ilvl="0" w:tplc="D5441912">
      <w:start w:val="1"/>
      <w:numFmt w:val="decimal"/>
      <w:lvlText w:val="%1."/>
      <w:lvlJc w:val="left"/>
      <w:pPr>
        <w:ind w:left="1800" w:hanging="360"/>
      </w:pPr>
      <w:rPr>
        <w:rFonts w:hint="default"/>
      </w:rPr>
    </w:lvl>
    <w:lvl w:ilvl="1" w:tplc="36F4A9E0">
      <w:start w:val="1"/>
      <w:numFmt w:val="decimal"/>
      <w:lvlText w:val="%2."/>
      <w:lvlJc w:val="left"/>
      <w:pPr>
        <w:ind w:left="990" w:hanging="360"/>
      </w:pPr>
      <w:rPr>
        <w:rFonts w:asciiTheme="minorHAnsi" w:hAnsiTheme="minorHAnsi" w:cstheme="minorHAnsi" w:hint="default"/>
      </w:r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B27F64"/>
    <w:multiLevelType w:val="hybridMultilevel"/>
    <w:tmpl w:val="F4E82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17">
      <w:start w:val="1"/>
      <w:numFmt w:val="lowerLetter"/>
      <w:lvlText w:val="%4)"/>
      <w:lvlJc w:val="left"/>
      <w:pPr>
        <w:ind w:left="3600" w:hanging="360"/>
      </w:pPr>
    </w:lvl>
    <w:lvl w:ilvl="4" w:tplc="04090011">
      <w:start w:val="1"/>
      <w:numFmt w:val="decimal"/>
      <w:lvlText w:val="%5)"/>
      <w:lvlJc w:val="left"/>
      <w:pPr>
        <w:ind w:left="180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302CE0"/>
    <w:multiLevelType w:val="hybridMultilevel"/>
    <w:tmpl w:val="9F2615E8"/>
    <w:lvl w:ilvl="0" w:tplc="AE9AEF2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9581D"/>
    <w:multiLevelType w:val="hybridMultilevel"/>
    <w:tmpl w:val="4240F630"/>
    <w:lvl w:ilvl="0" w:tplc="04090011">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1653E"/>
    <w:multiLevelType w:val="hybridMultilevel"/>
    <w:tmpl w:val="B2A6F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247415">
    <w:abstractNumId w:val="3"/>
  </w:num>
  <w:num w:numId="2" w16cid:durableId="465126833">
    <w:abstractNumId w:val="13"/>
  </w:num>
  <w:num w:numId="3" w16cid:durableId="1454858501">
    <w:abstractNumId w:val="20"/>
  </w:num>
  <w:num w:numId="4" w16cid:durableId="1426150073">
    <w:abstractNumId w:val="14"/>
  </w:num>
  <w:num w:numId="5" w16cid:durableId="1793984509">
    <w:abstractNumId w:val="8"/>
  </w:num>
  <w:num w:numId="6" w16cid:durableId="1218249516">
    <w:abstractNumId w:val="7"/>
  </w:num>
  <w:num w:numId="7" w16cid:durableId="2067411148">
    <w:abstractNumId w:val="1"/>
  </w:num>
  <w:num w:numId="8" w16cid:durableId="469712112">
    <w:abstractNumId w:val="15"/>
  </w:num>
  <w:num w:numId="9" w16cid:durableId="870806410">
    <w:abstractNumId w:val="4"/>
  </w:num>
  <w:num w:numId="10" w16cid:durableId="1746679971">
    <w:abstractNumId w:val="5"/>
  </w:num>
  <w:num w:numId="11" w16cid:durableId="231625329">
    <w:abstractNumId w:val="12"/>
  </w:num>
  <w:num w:numId="12" w16cid:durableId="1635330262">
    <w:abstractNumId w:val="2"/>
  </w:num>
  <w:num w:numId="13" w16cid:durableId="555817328">
    <w:abstractNumId w:val="19"/>
  </w:num>
  <w:num w:numId="14" w16cid:durableId="387345967">
    <w:abstractNumId w:val="21"/>
  </w:num>
  <w:num w:numId="15" w16cid:durableId="1635871347">
    <w:abstractNumId w:val="6"/>
  </w:num>
  <w:num w:numId="16" w16cid:durableId="530261762">
    <w:abstractNumId w:val="11"/>
  </w:num>
  <w:num w:numId="17" w16cid:durableId="1589464528">
    <w:abstractNumId w:val="18"/>
  </w:num>
  <w:num w:numId="18" w16cid:durableId="897402189">
    <w:abstractNumId w:val="0"/>
  </w:num>
  <w:num w:numId="19" w16cid:durableId="2045866516">
    <w:abstractNumId w:val="9"/>
  </w:num>
  <w:num w:numId="20" w16cid:durableId="1399937566">
    <w:abstractNumId w:val="17"/>
  </w:num>
  <w:num w:numId="21" w16cid:durableId="252713526">
    <w:abstractNumId w:val="16"/>
  </w:num>
  <w:num w:numId="22" w16cid:durableId="1077092832">
    <w:abstractNumId w:val="22"/>
  </w:num>
  <w:num w:numId="23" w16cid:durableId="204586586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07814"/>
    <w:rsid w:val="000129EF"/>
    <w:rsid w:val="00017876"/>
    <w:rsid w:val="000350BF"/>
    <w:rsid w:val="000368B0"/>
    <w:rsid w:val="00040E63"/>
    <w:rsid w:val="0004127D"/>
    <w:rsid w:val="00051F07"/>
    <w:rsid w:val="000526F8"/>
    <w:rsid w:val="00052F42"/>
    <w:rsid w:val="00055C9E"/>
    <w:rsid w:val="0007098C"/>
    <w:rsid w:val="00080B95"/>
    <w:rsid w:val="00087F5D"/>
    <w:rsid w:val="000A3FEF"/>
    <w:rsid w:val="000B3DB6"/>
    <w:rsid w:val="000B5724"/>
    <w:rsid w:val="000C11E0"/>
    <w:rsid w:val="000D01A7"/>
    <w:rsid w:val="000D3CDC"/>
    <w:rsid w:val="000D4AE4"/>
    <w:rsid w:val="000E1102"/>
    <w:rsid w:val="000F3E13"/>
    <w:rsid w:val="000F7321"/>
    <w:rsid w:val="00100B5D"/>
    <w:rsid w:val="00101D2C"/>
    <w:rsid w:val="00113034"/>
    <w:rsid w:val="0011769B"/>
    <w:rsid w:val="00127DBF"/>
    <w:rsid w:val="0015146C"/>
    <w:rsid w:val="0016760F"/>
    <w:rsid w:val="00181279"/>
    <w:rsid w:val="001A471A"/>
    <w:rsid w:val="001B397A"/>
    <w:rsid w:val="001B7FAC"/>
    <w:rsid w:val="001C5BF2"/>
    <w:rsid w:val="001E1D98"/>
    <w:rsid w:val="001E3D84"/>
    <w:rsid w:val="001F0872"/>
    <w:rsid w:val="001F28C3"/>
    <w:rsid w:val="001F38A7"/>
    <w:rsid w:val="002039B3"/>
    <w:rsid w:val="00204305"/>
    <w:rsid w:val="00210B77"/>
    <w:rsid w:val="00211D0C"/>
    <w:rsid w:val="0023003F"/>
    <w:rsid w:val="00232BEC"/>
    <w:rsid w:val="00243F54"/>
    <w:rsid w:val="0024660E"/>
    <w:rsid w:val="00256DB8"/>
    <w:rsid w:val="00277499"/>
    <w:rsid w:val="002872E7"/>
    <w:rsid w:val="002B4FCB"/>
    <w:rsid w:val="002C1A31"/>
    <w:rsid w:val="002C3135"/>
    <w:rsid w:val="002D7B3B"/>
    <w:rsid w:val="002E1E64"/>
    <w:rsid w:val="002E5B40"/>
    <w:rsid w:val="002F5471"/>
    <w:rsid w:val="002F63FB"/>
    <w:rsid w:val="00300B33"/>
    <w:rsid w:val="00302B85"/>
    <w:rsid w:val="00304388"/>
    <w:rsid w:val="003272F8"/>
    <w:rsid w:val="00327ED9"/>
    <w:rsid w:val="003337DD"/>
    <w:rsid w:val="003339ED"/>
    <w:rsid w:val="00334DDC"/>
    <w:rsid w:val="00343D28"/>
    <w:rsid w:val="00346129"/>
    <w:rsid w:val="00354954"/>
    <w:rsid w:val="00354E4D"/>
    <w:rsid w:val="0036065D"/>
    <w:rsid w:val="00365094"/>
    <w:rsid w:val="00373590"/>
    <w:rsid w:val="003814CD"/>
    <w:rsid w:val="00387D72"/>
    <w:rsid w:val="00393EF4"/>
    <w:rsid w:val="003A121B"/>
    <w:rsid w:val="003A1D70"/>
    <w:rsid w:val="003A3757"/>
    <w:rsid w:val="003B2B7F"/>
    <w:rsid w:val="003B762A"/>
    <w:rsid w:val="003C1646"/>
    <w:rsid w:val="003C32E8"/>
    <w:rsid w:val="003C7702"/>
    <w:rsid w:val="003D3C79"/>
    <w:rsid w:val="003D6668"/>
    <w:rsid w:val="003D7BCB"/>
    <w:rsid w:val="003F2CF8"/>
    <w:rsid w:val="00402193"/>
    <w:rsid w:val="004029F0"/>
    <w:rsid w:val="00402A54"/>
    <w:rsid w:val="00403608"/>
    <w:rsid w:val="00403650"/>
    <w:rsid w:val="00413466"/>
    <w:rsid w:val="00414896"/>
    <w:rsid w:val="00414F60"/>
    <w:rsid w:val="00416A06"/>
    <w:rsid w:val="00417F59"/>
    <w:rsid w:val="0043043A"/>
    <w:rsid w:val="0043080A"/>
    <w:rsid w:val="0045036D"/>
    <w:rsid w:val="00454845"/>
    <w:rsid w:val="004603C5"/>
    <w:rsid w:val="00464463"/>
    <w:rsid w:val="004A1A17"/>
    <w:rsid w:val="004B1619"/>
    <w:rsid w:val="004C3E28"/>
    <w:rsid w:val="004C6275"/>
    <w:rsid w:val="004D41C5"/>
    <w:rsid w:val="004D6700"/>
    <w:rsid w:val="004D6786"/>
    <w:rsid w:val="004E5316"/>
    <w:rsid w:val="00501A01"/>
    <w:rsid w:val="00506A4B"/>
    <w:rsid w:val="00512586"/>
    <w:rsid w:val="00516E2C"/>
    <w:rsid w:val="0053128E"/>
    <w:rsid w:val="005358F4"/>
    <w:rsid w:val="005374E8"/>
    <w:rsid w:val="00540BF7"/>
    <w:rsid w:val="00543724"/>
    <w:rsid w:val="00556846"/>
    <w:rsid w:val="00562DCC"/>
    <w:rsid w:val="0057545F"/>
    <w:rsid w:val="005762A9"/>
    <w:rsid w:val="00582681"/>
    <w:rsid w:val="005975FC"/>
    <w:rsid w:val="005A279E"/>
    <w:rsid w:val="005B19D3"/>
    <w:rsid w:val="005D4A30"/>
    <w:rsid w:val="005E3526"/>
    <w:rsid w:val="00602DFA"/>
    <w:rsid w:val="00630631"/>
    <w:rsid w:val="00631150"/>
    <w:rsid w:val="00643406"/>
    <w:rsid w:val="00660BC7"/>
    <w:rsid w:val="006826B9"/>
    <w:rsid w:val="006A3BC1"/>
    <w:rsid w:val="006A3F34"/>
    <w:rsid w:val="006A7C61"/>
    <w:rsid w:val="006B2DE8"/>
    <w:rsid w:val="006B3E86"/>
    <w:rsid w:val="006C5394"/>
    <w:rsid w:val="006D1A87"/>
    <w:rsid w:val="006E0833"/>
    <w:rsid w:val="006E4A95"/>
    <w:rsid w:val="006E56F1"/>
    <w:rsid w:val="006E6F11"/>
    <w:rsid w:val="007049E1"/>
    <w:rsid w:val="00706321"/>
    <w:rsid w:val="007064EC"/>
    <w:rsid w:val="00711D35"/>
    <w:rsid w:val="0072544E"/>
    <w:rsid w:val="00726E7D"/>
    <w:rsid w:val="0073683A"/>
    <w:rsid w:val="00741053"/>
    <w:rsid w:val="00744B2C"/>
    <w:rsid w:val="0074605F"/>
    <w:rsid w:val="00775414"/>
    <w:rsid w:val="007801B5"/>
    <w:rsid w:val="007B2578"/>
    <w:rsid w:val="007B3700"/>
    <w:rsid w:val="007B3BE9"/>
    <w:rsid w:val="007C267E"/>
    <w:rsid w:val="007C360C"/>
    <w:rsid w:val="007D142A"/>
    <w:rsid w:val="007E3C99"/>
    <w:rsid w:val="007E75C7"/>
    <w:rsid w:val="007F3701"/>
    <w:rsid w:val="00801A05"/>
    <w:rsid w:val="0080605C"/>
    <w:rsid w:val="00816569"/>
    <w:rsid w:val="00816D97"/>
    <w:rsid w:val="00817BFD"/>
    <w:rsid w:val="00826DD4"/>
    <w:rsid w:val="00832766"/>
    <w:rsid w:val="00841463"/>
    <w:rsid w:val="00853E95"/>
    <w:rsid w:val="00865141"/>
    <w:rsid w:val="0089280D"/>
    <w:rsid w:val="008A2AFB"/>
    <w:rsid w:val="008B0120"/>
    <w:rsid w:val="008D31EB"/>
    <w:rsid w:val="008D5F9D"/>
    <w:rsid w:val="008D6D09"/>
    <w:rsid w:val="008E1915"/>
    <w:rsid w:val="008E5A04"/>
    <w:rsid w:val="008F6487"/>
    <w:rsid w:val="00902FCB"/>
    <w:rsid w:val="0092418E"/>
    <w:rsid w:val="00925822"/>
    <w:rsid w:val="0092751E"/>
    <w:rsid w:val="009400FE"/>
    <w:rsid w:val="00963839"/>
    <w:rsid w:val="00976788"/>
    <w:rsid w:val="00986B1E"/>
    <w:rsid w:val="00987EDB"/>
    <w:rsid w:val="0099318A"/>
    <w:rsid w:val="00994CA8"/>
    <w:rsid w:val="009A105F"/>
    <w:rsid w:val="009A36C0"/>
    <w:rsid w:val="009B3E45"/>
    <w:rsid w:val="009C2DD1"/>
    <w:rsid w:val="009D0E80"/>
    <w:rsid w:val="009D1A47"/>
    <w:rsid w:val="009D5921"/>
    <w:rsid w:val="009D729C"/>
    <w:rsid w:val="009F2504"/>
    <w:rsid w:val="009F4AF9"/>
    <w:rsid w:val="00A40135"/>
    <w:rsid w:val="00A423BC"/>
    <w:rsid w:val="00A50954"/>
    <w:rsid w:val="00A52C38"/>
    <w:rsid w:val="00A542E6"/>
    <w:rsid w:val="00A71E82"/>
    <w:rsid w:val="00A7359C"/>
    <w:rsid w:val="00A77751"/>
    <w:rsid w:val="00AA1DF6"/>
    <w:rsid w:val="00AA51F4"/>
    <w:rsid w:val="00AB7650"/>
    <w:rsid w:val="00AC212E"/>
    <w:rsid w:val="00AC645E"/>
    <w:rsid w:val="00AD0EEA"/>
    <w:rsid w:val="00AD401D"/>
    <w:rsid w:val="00AE25B7"/>
    <w:rsid w:val="00AF0D8A"/>
    <w:rsid w:val="00AF0FA0"/>
    <w:rsid w:val="00AF78C3"/>
    <w:rsid w:val="00B00361"/>
    <w:rsid w:val="00B03C11"/>
    <w:rsid w:val="00B03CDA"/>
    <w:rsid w:val="00B06792"/>
    <w:rsid w:val="00B07BC2"/>
    <w:rsid w:val="00B118F1"/>
    <w:rsid w:val="00B13ADB"/>
    <w:rsid w:val="00B204BA"/>
    <w:rsid w:val="00B415BA"/>
    <w:rsid w:val="00B447A8"/>
    <w:rsid w:val="00B567D0"/>
    <w:rsid w:val="00B7092C"/>
    <w:rsid w:val="00B7307B"/>
    <w:rsid w:val="00B8090D"/>
    <w:rsid w:val="00B91F0A"/>
    <w:rsid w:val="00B925B0"/>
    <w:rsid w:val="00B94627"/>
    <w:rsid w:val="00B96711"/>
    <w:rsid w:val="00BA3392"/>
    <w:rsid w:val="00BA339B"/>
    <w:rsid w:val="00BB01D4"/>
    <w:rsid w:val="00BB2C12"/>
    <w:rsid w:val="00BC25FC"/>
    <w:rsid w:val="00BC6B1B"/>
    <w:rsid w:val="00BD02A9"/>
    <w:rsid w:val="00BD7AA4"/>
    <w:rsid w:val="00BE286B"/>
    <w:rsid w:val="00BE5E00"/>
    <w:rsid w:val="00BF0BEB"/>
    <w:rsid w:val="00C140CB"/>
    <w:rsid w:val="00C230C7"/>
    <w:rsid w:val="00C23D92"/>
    <w:rsid w:val="00C44A3A"/>
    <w:rsid w:val="00C517C4"/>
    <w:rsid w:val="00C5242E"/>
    <w:rsid w:val="00C61069"/>
    <w:rsid w:val="00C641A4"/>
    <w:rsid w:val="00C6540A"/>
    <w:rsid w:val="00C72506"/>
    <w:rsid w:val="00C929A2"/>
    <w:rsid w:val="00C93FB1"/>
    <w:rsid w:val="00CA14D4"/>
    <w:rsid w:val="00CB2A05"/>
    <w:rsid w:val="00CC3812"/>
    <w:rsid w:val="00CD3C43"/>
    <w:rsid w:val="00CD79D0"/>
    <w:rsid w:val="00CE5AA9"/>
    <w:rsid w:val="00CE5CF9"/>
    <w:rsid w:val="00CF201F"/>
    <w:rsid w:val="00CF2887"/>
    <w:rsid w:val="00D0345E"/>
    <w:rsid w:val="00D157FE"/>
    <w:rsid w:val="00D17E93"/>
    <w:rsid w:val="00D24499"/>
    <w:rsid w:val="00D25E7F"/>
    <w:rsid w:val="00D27AD4"/>
    <w:rsid w:val="00D3056E"/>
    <w:rsid w:val="00D33204"/>
    <w:rsid w:val="00D46427"/>
    <w:rsid w:val="00D5007D"/>
    <w:rsid w:val="00D531EC"/>
    <w:rsid w:val="00D72441"/>
    <w:rsid w:val="00D72AFC"/>
    <w:rsid w:val="00D76248"/>
    <w:rsid w:val="00DA5D41"/>
    <w:rsid w:val="00DA7652"/>
    <w:rsid w:val="00DB2668"/>
    <w:rsid w:val="00DB3038"/>
    <w:rsid w:val="00DB6FB2"/>
    <w:rsid w:val="00DC0E2B"/>
    <w:rsid w:val="00DC69FE"/>
    <w:rsid w:val="00DE564B"/>
    <w:rsid w:val="00E003E5"/>
    <w:rsid w:val="00E03A6B"/>
    <w:rsid w:val="00E25A48"/>
    <w:rsid w:val="00E27E71"/>
    <w:rsid w:val="00E314D3"/>
    <w:rsid w:val="00E33E60"/>
    <w:rsid w:val="00E413B6"/>
    <w:rsid w:val="00E51BCC"/>
    <w:rsid w:val="00E57184"/>
    <w:rsid w:val="00EA127C"/>
    <w:rsid w:val="00EB35E0"/>
    <w:rsid w:val="00EC353D"/>
    <w:rsid w:val="00EC5ECC"/>
    <w:rsid w:val="00ED27BE"/>
    <w:rsid w:val="00ED3398"/>
    <w:rsid w:val="00ED6A84"/>
    <w:rsid w:val="00ED705B"/>
    <w:rsid w:val="00ED72AE"/>
    <w:rsid w:val="00ED7F7F"/>
    <w:rsid w:val="00EE6047"/>
    <w:rsid w:val="00EF1856"/>
    <w:rsid w:val="00F040DD"/>
    <w:rsid w:val="00F05187"/>
    <w:rsid w:val="00F07A94"/>
    <w:rsid w:val="00F12BF4"/>
    <w:rsid w:val="00F17712"/>
    <w:rsid w:val="00F2550D"/>
    <w:rsid w:val="00F25F35"/>
    <w:rsid w:val="00F41ED7"/>
    <w:rsid w:val="00F54057"/>
    <w:rsid w:val="00F713A7"/>
    <w:rsid w:val="00F72388"/>
    <w:rsid w:val="00F76B92"/>
    <w:rsid w:val="00FB27AE"/>
    <w:rsid w:val="00FB59CB"/>
    <w:rsid w:val="00FC01F9"/>
    <w:rsid w:val="00FC337D"/>
    <w:rsid w:val="00FE573E"/>
    <w:rsid w:val="045C41DF"/>
    <w:rsid w:val="0F2ED188"/>
    <w:rsid w:val="107A509A"/>
    <w:rsid w:val="1702E766"/>
    <w:rsid w:val="1841FBBA"/>
    <w:rsid w:val="1EF7215D"/>
    <w:rsid w:val="225399A9"/>
    <w:rsid w:val="22D09B6D"/>
    <w:rsid w:val="2A40AAFC"/>
    <w:rsid w:val="2C6D1BE5"/>
    <w:rsid w:val="35032AB3"/>
    <w:rsid w:val="3E0326AA"/>
    <w:rsid w:val="3FC27BC3"/>
    <w:rsid w:val="413AC76C"/>
    <w:rsid w:val="45945931"/>
    <w:rsid w:val="4701FB82"/>
    <w:rsid w:val="4BAEC63E"/>
    <w:rsid w:val="4C856799"/>
    <w:rsid w:val="4FBD085B"/>
    <w:rsid w:val="5401601E"/>
    <w:rsid w:val="5490797E"/>
    <w:rsid w:val="5E1E660E"/>
    <w:rsid w:val="6123AB25"/>
    <w:rsid w:val="61D74D26"/>
    <w:rsid w:val="636DBB03"/>
    <w:rsid w:val="66A7173C"/>
    <w:rsid w:val="6B04A3F5"/>
    <w:rsid w:val="74E71893"/>
    <w:rsid w:val="75048369"/>
    <w:rsid w:val="765E4581"/>
    <w:rsid w:val="7C6B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2"/>
      </w:numPr>
      <w:spacing w:after="120"/>
      <w:jc w:val="both"/>
    </w:pPr>
    <w:rPr>
      <w:rFonts w:ascii="Arial" w:eastAsia="Times New Roman" w:hAnsi="Arial" w:cs="Arial"/>
      <w:sz w:val="20"/>
      <w:szCs w:val="20"/>
    </w:rPr>
  </w:style>
  <w:style w:type="character" w:styleId="Hyperlink">
    <w:name w:val="Hyperlink"/>
    <w:basedOn w:val="DefaultParagraphFont"/>
    <w:uiPriority w:val="99"/>
    <w:unhideWhenUsed/>
    <w:rsid w:val="00801A05"/>
    <w:rPr>
      <w:color w:val="0563C1" w:themeColor="hyperlink"/>
      <w:u w:val="single"/>
    </w:rPr>
  </w:style>
  <w:style w:type="character" w:styleId="UnresolvedMention">
    <w:name w:val="Unresolved Mention"/>
    <w:basedOn w:val="DefaultParagraphFont"/>
    <w:uiPriority w:val="99"/>
    <w:semiHidden/>
    <w:unhideWhenUsed/>
    <w:rsid w:val="00801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7496">
      <w:bodyDiv w:val="1"/>
      <w:marLeft w:val="0"/>
      <w:marRight w:val="0"/>
      <w:marTop w:val="0"/>
      <w:marBottom w:val="0"/>
      <w:divBdr>
        <w:top w:val="none" w:sz="0" w:space="0" w:color="auto"/>
        <w:left w:val="none" w:sz="0" w:space="0" w:color="auto"/>
        <w:bottom w:val="none" w:sz="0" w:space="0" w:color="auto"/>
        <w:right w:val="none" w:sz="0" w:space="0" w:color="auto"/>
      </w:divBdr>
    </w:div>
    <w:div w:id="16173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umane-endpoints.info/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5e07875-f62f-4f79-977b-bc0ca07c22ae">
      <UserInfo>
        <DisplayName>Baer, Janet</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65BEE0D5-60D3-472F-BC30-17094956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5</cp:revision>
  <cp:lastPrinted>2018-03-05T21:29:00Z</cp:lastPrinted>
  <dcterms:created xsi:type="dcterms:W3CDTF">2022-02-18T21:23:00Z</dcterms:created>
  <dcterms:modified xsi:type="dcterms:W3CDTF">2023-02-08T17:59:00Z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