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88271" w14:textId="6FA4726C" w:rsidR="000A0E16" w:rsidRPr="000A0E16" w:rsidRDefault="00EA3462" w:rsidP="000A0E16">
      <w:pPr>
        <w:jc w:val="center"/>
        <w:rPr>
          <w:rFonts w:asciiTheme="majorHAnsi" w:hAnsiTheme="majorHAnsi" w:cstheme="majorHAnsi"/>
          <w:b/>
          <w:sz w:val="28"/>
          <w:szCs w:val="22"/>
          <w:u w:val="single"/>
        </w:rPr>
      </w:pPr>
      <w:r>
        <w:rPr>
          <w:rFonts w:asciiTheme="majorHAnsi" w:hAnsiTheme="majorHAnsi" w:cstheme="majorHAnsi"/>
          <w:b/>
          <w:sz w:val="28"/>
          <w:szCs w:val="22"/>
          <w:u w:val="single"/>
        </w:rPr>
        <w:t xml:space="preserve">Appendix B: </w:t>
      </w:r>
      <w:r w:rsidR="000A0E16" w:rsidRPr="000A0E16">
        <w:rPr>
          <w:rFonts w:asciiTheme="majorHAnsi" w:hAnsiTheme="majorHAnsi" w:cstheme="majorHAnsi"/>
          <w:b/>
          <w:sz w:val="28"/>
          <w:szCs w:val="22"/>
          <w:u w:val="single"/>
        </w:rPr>
        <w:t>Emergency Procedures</w:t>
      </w:r>
    </w:p>
    <w:p w14:paraId="7111080F" w14:textId="77777777" w:rsidR="000A0E16" w:rsidRPr="00AB7C6E" w:rsidRDefault="000A0E16" w:rsidP="000A0E16">
      <w:pPr>
        <w:rPr>
          <w:rFonts w:asciiTheme="majorHAnsi" w:hAnsiTheme="majorHAnsi" w:cstheme="majorHAnsi"/>
          <w:b/>
          <w:i/>
          <w:sz w:val="22"/>
          <w:szCs w:val="22"/>
        </w:rPr>
      </w:pPr>
    </w:p>
    <w:p w14:paraId="356F0D94" w14:textId="77777777" w:rsidR="000A0E16" w:rsidRPr="00AB7C6E" w:rsidRDefault="000A0E16" w:rsidP="000A0E16">
      <w:pPr>
        <w:rPr>
          <w:rFonts w:asciiTheme="majorHAnsi" w:hAnsiTheme="majorHAnsi" w:cstheme="majorHAnsi"/>
          <w:b/>
          <w:i/>
          <w:sz w:val="22"/>
          <w:szCs w:val="22"/>
        </w:rPr>
      </w:pPr>
      <w:r w:rsidRPr="00AB7C6E">
        <w:rPr>
          <w:rFonts w:asciiTheme="majorHAnsi" w:hAnsiTheme="majorHAnsi" w:cstheme="majorHAnsi"/>
          <w:b/>
          <w:i/>
          <w:sz w:val="22"/>
          <w:szCs w:val="22"/>
        </w:rPr>
        <w:t>Incidents Involving Radioactive Dusts, Mists, Fumes, Organic Vapors, and Gases</w:t>
      </w:r>
    </w:p>
    <w:p w14:paraId="0068B06D"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Instructions to Workers</w:t>
      </w:r>
    </w:p>
    <w:p w14:paraId="4B44E7EA"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Notify all personnel to vacate the room immediately.</w:t>
      </w:r>
    </w:p>
    <w:p w14:paraId="2D81DD31"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Shut down ventilation system, if possible, unless it is determined that the room ventilation system needs to be used to clear the air for access purposes.</w:t>
      </w:r>
    </w:p>
    <w:p w14:paraId="6A0F7937"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Vacate the room. Seal the area, if possible.</w:t>
      </w:r>
    </w:p>
    <w:p w14:paraId="6EAA19B4"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Notify the RSO immediately.</w:t>
      </w:r>
    </w:p>
    <w:p w14:paraId="0EA90FB8"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Ensure that all access doors to the area are closed and posted with appropriate warning signs, or post guards (trained) at all access doors to prevent accidental opening of the doors or entry to the area.</w:t>
      </w:r>
    </w:p>
    <w:p w14:paraId="06CCCD1B"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Survey all persons who could possibly have been contaminated. Decontaminate as directed by the RSO.</w:t>
      </w:r>
    </w:p>
    <w:p w14:paraId="79E52E51"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Promptly report suspected inhalations and ingestions of licensed material to the RSO.</w:t>
      </w:r>
    </w:p>
    <w:p w14:paraId="682ECB64"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Decontaminate the area only when advised and/or supervised by the RSO.</w:t>
      </w:r>
    </w:p>
    <w:p w14:paraId="663D9FCE"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Allow no one to return to work in the area unless approved by the RSO.</w:t>
      </w:r>
    </w:p>
    <w:p w14:paraId="652891ED"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Cooperate with the RSO and/or the RSO’s staff (e.g., investigation of root cause, provision of requested bioassay samples).</w:t>
      </w:r>
    </w:p>
    <w:p w14:paraId="6073271C"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Follow the instructions of the RSO and the RSO’s staff (e.g., decontamination techniques, surveys, provision and collection of bioassay samples, requested documentation).</w:t>
      </w:r>
    </w:p>
    <w:p w14:paraId="3CB03A3C"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Reminders to RSO</w:t>
      </w:r>
    </w:p>
    <w:p w14:paraId="4FB6DA33"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Supervise decontamination activities.</w:t>
      </w:r>
    </w:p>
    <w:p w14:paraId="34DDBE87"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Perform air sample surveys in the area before permitting resumption of work with licensed materials.</w:t>
      </w:r>
    </w:p>
    <w:p w14:paraId="39E31F61"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Provide written directions to potentially contaminated individuals about providing and collecting urine, breath, blood, or fecal samples, etc.</w:t>
      </w:r>
    </w:p>
    <w:p w14:paraId="59379A03"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Consider need for medical exam and/or whole body count before permitting involved individuals to return to work with licensed material.</w:t>
      </w:r>
    </w:p>
    <w:p w14:paraId="451C53C2"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Determine cause and corrective actions needed; consider need for bioassays if licensed material is suspected to have been ingested, inhaled, or absorbed through or injected under the skin. Document incident.</w:t>
      </w:r>
    </w:p>
    <w:p w14:paraId="6AC61E2E"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If necessary, notify the NRC.</w:t>
      </w:r>
    </w:p>
    <w:p w14:paraId="4D80A958" w14:textId="77777777" w:rsidR="000A0E16" w:rsidRPr="00AB7C6E" w:rsidRDefault="000A0E16" w:rsidP="000A0E16">
      <w:pPr>
        <w:rPr>
          <w:rFonts w:asciiTheme="majorHAnsi" w:hAnsiTheme="majorHAnsi" w:cstheme="majorHAnsi"/>
          <w:b/>
          <w:i/>
          <w:sz w:val="22"/>
          <w:szCs w:val="22"/>
        </w:rPr>
      </w:pPr>
      <w:r w:rsidRPr="00AB7C6E">
        <w:rPr>
          <w:rFonts w:asciiTheme="majorHAnsi" w:hAnsiTheme="majorHAnsi" w:cstheme="majorHAnsi"/>
          <w:b/>
          <w:i/>
          <w:sz w:val="22"/>
          <w:szCs w:val="22"/>
        </w:rPr>
        <w:t>Minor Fires</w:t>
      </w:r>
    </w:p>
    <w:p w14:paraId="5BED7EB1" w14:textId="772A2CD6"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 xml:space="preserve">Instructions to Workers </w:t>
      </w:r>
      <w:bookmarkStart w:id="0" w:name="_GoBack"/>
      <w:bookmarkEnd w:id="0"/>
    </w:p>
    <w:p w14:paraId="41223174"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Immediately attempt to put out the fire by approved methods (e.g., fire extinguisher) if other fire hazards or radiation hazards are not present.</w:t>
      </w:r>
    </w:p>
    <w:p w14:paraId="57D01138"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Notify all persons present to vacate the area and have one individual immediately call the RSO and fire department (as instructed by RSO).</w:t>
      </w:r>
    </w:p>
    <w:p w14:paraId="643188A1"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lastRenderedPageBreak/>
        <w:t>Once the fire is out, isolate the area to prevent the spread of possible contamination.</w:t>
      </w:r>
    </w:p>
    <w:p w14:paraId="5B5368EB"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Survey all persons involved in combating the fire for possible contamination.</w:t>
      </w:r>
    </w:p>
    <w:p w14:paraId="29ECF6CF"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Decontaminate personnel by removing contaminated clothing and flushing contaminated skin with lukewarm water, then washing with a mild soap.</w:t>
      </w:r>
    </w:p>
    <w:p w14:paraId="02C52B36"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In consultation with the RSO, determine a plan of decontamination and the types of protective devices and survey equipment necessary to decontaminate the area.</w:t>
      </w:r>
    </w:p>
    <w:p w14:paraId="61175915"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Allow no one to return to work in the area unless approved by the RSO.</w:t>
      </w:r>
    </w:p>
    <w:p w14:paraId="57C169C0"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Cooperate with the RSO and/or the RSO’s staff (e.g., investigation of root cause, provision of requested bioassay samples).</w:t>
      </w:r>
    </w:p>
    <w:p w14:paraId="3202C38B"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Follow the instructions of the RSO and/or the RSO’s staff (e.g., decontamination techniques, surveys, provision of bioassay samples, requested documentation).</w:t>
      </w:r>
    </w:p>
    <w:p w14:paraId="2F146857"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Reminders to RSO</w:t>
      </w:r>
    </w:p>
    <w:p w14:paraId="3CF397F7"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Supervise decontamination activities.</w:t>
      </w:r>
    </w:p>
    <w:p w14:paraId="6819A7B5"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If decontamination of personnel was not fully successful, consider inducing perspiration by covering the area with plastic. Then wash affected area again to remove any contamination that was released by the perspiration.</w:t>
      </w:r>
    </w:p>
    <w:p w14:paraId="3B43C7CF"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Consult with fire safety officials to ensure that there are no other possibilities of another fire starting.</w:t>
      </w:r>
    </w:p>
    <w:p w14:paraId="3255301C"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Determine cause and needed corrective actions; consider need for bioassays if licensed material is suspected to have been ingested, inhaled, or absorbed through or injected under the skin. Document incident.</w:t>
      </w:r>
    </w:p>
    <w:p w14:paraId="092368D5"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If necessary, notify the NRC.</w:t>
      </w:r>
    </w:p>
    <w:p w14:paraId="2E7971DF" w14:textId="77777777" w:rsidR="000A0E16" w:rsidRPr="00AB7C6E" w:rsidRDefault="000A0E16" w:rsidP="000A0E16">
      <w:pPr>
        <w:rPr>
          <w:rFonts w:asciiTheme="majorHAnsi" w:hAnsiTheme="majorHAnsi" w:cstheme="majorHAnsi"/>
          <w:b/>
          <w:i/>
          <w:sz w:val="22"/>
          <w:szCs w:val="22"/>
        </w:rPr>
      </w:pPr>
      <w:r w:rsidRPr="00AB7C6E">
        <w:rPr>
          <w:rFonts w:asciiTheme="majorHAnsi" w:hAnsiTheme="majorHAnsi" w:cstheme="majorHAnsi"/>
          <w:b/>
          <w:i/>
          <w:sz w:val="22"/>
          <w:szCs w:val="22"/>
        </w:rPr>
        <w:t>Fires, Explosions, or Major Emergencies</w:t>
      </w:r>
    </w:p>
    <w:p w14:paraId="04123E39"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Instructions to Workers</w:t>
      </w:r>
    </w:p>
    <w:p w14:paraId="4AE9CBC0"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Notify all persons in the area to leave immediately.</w:t>
      </w:r>
    </w:p>
    <w:p w14:paraId="063A63B0"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Notify the fire department.</w:t>
      </w:r>
    </w:p>
    <w:p w14:paraId="090F0FBD"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Notify the RSO and other facility safety personnel.</w:t>
      </w:r>
    </w:p>
    <w:p w14:paraId="21DB6D00"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Upon arrival of firefighters, inform them where radioactive materials are stored or where radionuclides were being used; inform them of the present location of the licensed material and the best possible entrance route to the radiation area, as well as any precautions to avoid exposure or risk of creating radioactive contamination by use of high pressure water, etc.</w:t>
      </w:r>
    </w:p>
    <w:p w14:paraId="79F15A56"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Cooperate with the RSO and/or the RSO’s staff (e.g., investigation of root cause, provision of requested bioassay samples).</w:t>
      </w:r>
    </w:p>
    <w:p w14:paraId="3B237E11"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Allow no one to return to work in the area unless approved by the RSO.</w:t>
      </w:r>
    </w:p>
    <w:p w14:paraId="5BA83082"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lastRenderedPageBreak/>
        <w:t>Follow the instructions of the RSO and/or the RSO’s staff (e.g., decontamination techniques, surveys, provision of bioassay samples, requested documentation).</w:t>
      </w:r>
    </w:p>
    <w:p w14:paraId="5E59DF5D"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Reminders to RSO</w:t>
      </w:r>
    </w:p>
    <w:p w14:paraId="38DAE174"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Coordinate activities with facility’s industrial hygienist or environmental health and safety office and with local fire department.</w:t>
      </w:r>
    </w:p>
    <w:p w14:paraId="400803D8"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Consult with the firefighting personnel and set up a controlled area where the firefighters can be surveyed for contamination of their protective clothing and equipment after the fire is extinguished.</w:t>
      </w:r>
    </w:p>
    <w:p w14:paraId="0E88541B"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Once the fire is extinguished, advise firefighters not to enter potentially contaminated areas where radioactive sources may be present or radiation areas until a thorough evaluation and survey are performed to determine the extent of the damage to the licensed material use and storage areas.</w:t>
      </w:r>
    </w:p>
    <w:p w14:paraId="1F0F5319"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Perform thorough contamination surveys of the firefighters and their equipment before they leave the controlled area and decontaminate, if necessary.</w:t>
      </w:r>
    </w:p>
    <w:p w14:paraId="29F39DE8"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Supervise decontamination activities.</w:t>
      </w:r>
    </w:p>
    <w:p w14:paraId="01FD8D20"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Consider bioassays if licensed material is suspected to have been ingested, inhaled, or absorbed through or injected under the skin. Document incident.</w:t>
      </w:r>
    </w:p>
    <w:p w14:paraId="771BAECE" w14:textId="77777777" w:rsidR="000A0E16" w:rsidRPr="00AB7C6E" w:rsidRDefault="000A0E16" w:rsidP="000A0E16">
      <w:pPr>
        <w:pStyle w:val="ListParagraph"/>
        <w:numPr>
          <w:ilvl w:val="1"/>
          <w:numId w:val="22"/>
        </w:numPr>
        <w:rPr>
          <w:rFonts w:asciiTheme="majorHAnsi" w:hAnsiTheme="majorHAnsi" w:cstheme="majorHAnsi"/>
        </w:rPr>
      </w:pPr>
      <w:r w:rsidRPr="00AB7C6E">
        <w:rPr>
          <w:rFonts w:asciiTheme="majorHAnsi" w:hAnsiTheme="majorHAnsi" w:cstheme="majorHAnsi"/>
        </w:rPr>
        <w:t>If necessary, notify the NRC.</w:t>
      </w:r>
    </w:p>
    <w:p w14:paraId="7C0E1F27" w14:textId="77777777" w:rsidR="000A0E16" w:rsidRPr="00AB7C6E" w:rsidRDefault="000A0E16" w:rsidP="000A0E16">
      <w:pPr>
        <w:rPr>
          <w:rFonts w:asciiTheme="majorHAnsi" w:hAnsiTheme="majorHAnsi" w:cstheme="majorHAnsi"/>
          <w:b/>
          <w:i/>
          <w:sz w:val="22"/>
          <w:szCs w:val="22"/>
        </w:rPr>
      </w:pPr>
      <w:r w:rsidRPr="00AB7C6E">
        <w:rPr>
          <w:rFonts w:asciiTheme="majorHAnsi" w:hAnsiTheme="majorHAnsi" w:cstheme="majorHAnsi"/>
          <w:b/>
          <w:i/>
          <w:sz w:val="22"/>
          <w:szCs w:val="22"/>
        </w:rPr>
        <w:t>Incidents Involving Sealed Sources</w:t>
      </w:r>
    </w:p>
    <w:p w14:paraId="44CE17EC"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For an emergency situation that may occur concerning a sealed source that has been exposed unintentionally, is unshielded or compromised, the following safety instructions should be considered:</w:t>
      </w:r>
    </w:p>
    <w:p w14:paraId="3178A335"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Immediately secure and post the restricted area; maintain continuous surveillance and restrict access to the restricted area.</w:t>
      </w:r>
    </w:p>
    <w:p w14:paraId="7C1A065C"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Notify the RSO, RSO designee, and management personnel immediately.</w:t>
      </w:r>
    </w:p>
    <w:p w14:paraId="0D72FD06"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Retrieval operations should be supervised by the RSO.</w:t>
      </w:r>
    </w:p>
    <w:p w14:paraId="0F617D90"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No source or suspected source should be handled directly with bare hands.</w:t>
      </w:r>
    </w:p>
    <w:p w14:paraId="2A1AC180"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Determine if additional dosimetry will be required during source retrieval.</w:t>
      </w:r>
    </w:p>
    <w:p w14:paraId="5F7E0A37"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Appropriate survey instruments should be used for the response activity.</w:t>
      </w:r>
    </w:p>
    <w:p w14:paraId="015ABB19"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Expedient methods of reducing unintended exposure to staff and the public, such as lead shot bags, sandbags, steel plates, and remote handling devices.</w:t>
      </w:r>
    </w:p>
    <w:p w14:paraId="10C85CC4" w14:textId="77777777" w:rsidR="000A0E16" w:rsidRPr="00AB7C6E" w:rsidRDefault="000A0E16" w:rsidP="000A0E16">
      <w:pPr>
        <w:pStyle w:val="ListParagraph"/>
        <w:numPr>
          <w:ilvl w:val="0"/>
          <w:numId w:val="25"/>
        </w:numPr>
        <w:rPr>
          <w:rFonts w:asciiTheme="majorHAnsi" w:hAnsiTheme="majorHAnsi" w:cstheme="majorHAnsi"/>
        </w:rPr>
      </w:pPr>
      <w:r w:rsidRPr="00AB7C6E">
        <w:rPr>
          <w:rFonts w:asciiTheme="majorHAnsi" w:hAnsiTheme="majorHAnsi" w:cstheme="majorHAnsi"/>
        </w:rPr>
        <w:t>The RSO should make required notifications to the NRC.</w:t>
      </w:r>
    </w:p>
    <w:p w14:paraId="719B84E5" w14:textId="77777777" w:rsidR="000A0E16" w:rsidRPr="002227DB" w:rsidRDefault="000A0E16" w:rsidP="000A0E16"/>
    <w:p w14:paraId="7C9A7310" w14:textId="10F8D38D" w:rsidR="002227DB" w:rsidRPr="000A0E16" w:rsidRDefault="002227DB" w:rsidP="000A0E16"/>
    <w:sectPr w:rsidR="002227DB" w:rsidRPr="000A0E16" w:rsidSect="00A261A7">
      <w:headerReference w:type="first" r:id="rId8"/>
      <w:pgSz w:w="12240" w:h="15840"/>
      <w:pgMar w:top="1296" w:right="1440" w:bottom="1440" w:left="28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C3BE4" w14:textId="77777777" w:rsidR="0004517D" w:rsidRDefault="0004517D" w:rsidP="00A261A7">
      <w:r>
        <w:separator/>
      </w:r>
    </w:p>
  </w:endnote>
  <w:endnote w:type="continuationSeparator" w:id="0">
    <w:p w14:paraId="7E912FAF" w14:textId="77777777" w:rsidR="0004517D" w:rsidRDefault="0004517D" w:rsidP="00A2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2B4D" w14:textId="77777777" w:rsidR="0004517D" w:rsidRDefault="0004517D" w:rsidP="00A261A7">
      <w:r>
        <w:separator/>
      </w:r>
    </w:p>
  </w:footnote>
  <w:footnote w:type="continuationSeparator" w:id="0">
    <w:p w14:paraId="136555D1" w14:textId="77777777" w:rsidR="0004517D" w:rsidRDefault="0004517D" w:rsidP="00A2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85D4" w14:textId="2345A7FD" w:rsidR="00A261A7" w:rsidRDefault="00F1408E">
    <w:pPr>
      <w:pStyle w:val="Header"/>
    </w:pPr>
    <w:r>
      <w:rPr>
        <w:noProof/>
      </w:rPr>
      <w:drawing>
        <wp:anchor distT="0" distB="0" distL="114300" distR="114300" simplePos="0" relativeHeight="251658240" behindDoc="1" locked="1" layoutInCell="0" allowOverlap="1" wp14:anchorId="43F65C79" wp14:editId="76A3AA7F">
          <wp:simplePos x="0" y="0"/>
          <wp:positionH relativeFrom="page">
            <wp:posOffset>228600</wp:posOffset>
          </wp:positionH>
          <wp:positionV relativeFrom="page">
            <wp:posOffset>228600</wp:posOffset>
          </wp:positionV>
          <wp:extent cx="1353312" cy="94548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ComplianceEL.BMP"/>
                  <pic:cNvPicPr/>
                </pic:nvPicPr>
                <pic:blipFill>
                  <a:blip r:embed="rId1">
                    <a:extLst>
                      <a:ext uri="{28A0092B-C50C-407E-A947-70E740481C1C}">
                        <a14:useLocalDpi xmlns:a14="http://schemas.microsoft.com/office/drawing/2010/main" val="0"/>
                      </a:ext>
                    </a:extLst>
                  </a:blip>
                  <a:stretch>
                    <a:fillRect/>
                  </a:stretch>
                </pic:blipFill>
                <pic:spPr>
                  <a:xfrm>
                    <a:off x="0" y="0"/>
                    <a:ext cx="1353312" cy="9454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D27"/>
    <w:multiLevelType w:val="hybridMultilevel"/>
    <w:tmpl w:val="37EA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25C9"/>
    <w:multiLevelType w:val="hybridMultilevel"/>
    <w:tmpl w:val="7226B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E1746"/>
    <w:multiLevelType w:val="hybridMultilevel"/>
    <w:tmpl w:val="2FAA160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F05CAE"/>
    <w:multiLevelType w:val="hybridMultilevel"/>
    <w:tmpl w:val="8A20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44EB1"/>
    <w:multiLevelType w:val="hybridMultilevel"/>
    <w:tmpl w:val="DDB279D0"/>
    <w:lvl w:ilvl="0" w:tplc="9752BB6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05772"/>
    <w:multiLevelType w:val="hybridMultilevel"/>
    <w:tmpl w:val="CE1EEE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DFD7E44"/>
    <w:multiLevelType w:val="hybridMultilevel"/>
    <w:tmpl w:val="7D7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31F532BA"/>
    <w:multiLevelType w:val="hybridMultilevel"/>
    <w:tmpl w:val="EAFA32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060D8"/>
    <w:multiLevelType w:val="hybridMultilevel"/>
    <w:tmpl w:val="F56CB1E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39DC74C5"/>
    <w:multiLevelType w:val="hybridMultilevel"/>
    <w:tmpl w:val="1A801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613144"/>
    <w:multiLevelType w:val="hybridMultilevel"/>
    <w:tmpl w:val="881C09F0"/>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DD13523"/>
    <w:multiLevelType w:val="hybridMultilevel"/>
    <w:tmpl w:val="932A2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47493"/>
    <w:multiLevelType w:val="hybridMultilevel"/>
    <w:tmpl w:val="FA121D7E"/>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3" w15:restartNumberingAfterBreak="0">
    <w:nsid w:val="45D835CF"/>
    <w:multiLevelType w:val="hybridMultilevel"/>
    <w:tmpl w:val="062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B34A3"/>
    <w:multiLevelType w:val="hybridMultilevel"/>
    <w:tmpl w:val="445C01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C3AF3"/>
    <w:multiLevelType w:val="hybridMultilevel"/>
    <w:tmpl w:val="6A56F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F46A83"/>
    <w:multiLevelType w:val="hybridMultilevel"/>
    <w:tmpl w:val="AD2A9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144985"/>
    <w:multiLevelType w:val="hybridMultilevel"/>
    <w:tmpl w:val="836C603C"/>
    <w:lvl w:ilvl="0" w:tplc="9752BB60">
      <w:start w:val="1"/>
      <w:numFmt w:val="upperLetter"/>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568F0530"/>
    <w:multiLevelType w:val="hybridMultilevel"/>
    <w:tmpl w:val="776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03E92"/>
    <w:multiLevelType w:val="hybridMultilevel"/>
    <w:tmpl w:val="40E4F46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5D473324"/>
    <w:multiLevelType w:val="hybridMultilevel"/>
    <w:tmpl w:val="1040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47ADB"/>
    <w:multiLevelType w:val="hybridMultilevel"/>
    <w:tmpl w:val="22FA5DAA"/>
    <w:lvl w:ilvl="0" w:tplc="04090001">
      <w:start w:val="1"/>
      <w:numFmt w:val="bullet"/>
      <w:lvlText w:val=""/>
      <w:lvlJc w:val="left"/>
      <w:pPr>
        <w:ind w:left="720" w:hanging="360"/>
      </w:pPr>
      <w:rPr>
        <w:rFonts w:ascii="Symbol" w:hAnsi="Symbol" w:hint="default"/>
      </w:rPr>
    </w:lvl>
    <w:lvl w:ilvl="1" w:tplc="F7340976">
      <w:numFmt w:val="bullet"/>
      <w:lvlText w:val="—"/>
      <w:lvlJc w:val="left"/>
      <w:pPr>
        <w:ind w:left="1440" w:hanging="360"/>
      </w:pPr>
      <w:rPr>
        <w:rFonts w:ascii="Calibri" w:eastAsiaTheme="minorHAnsi" w:hAnsi="Calibri" w:cs="Calibri" w:hint="default"/>
      </w:rPr>
    </w:lvl>
    <w:lvl w:ilvl="2" w:tplc="C032D69E">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55E67"/>
    <w:multiLevelType w:val="hybridMultilevel"/>
    <w:tmpl w:val="CD2C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338DB"/>
    <w:multiLevelType w:val="hybridMultilevel"/>
    <w:tmpl w:val="DA2C70E6"/>
    <w:lvl w:ilvl="0" w:tplc="9752BB60">
      <w:start w:val="1"/>
      <w:numFmt w:val="upperLetter"/>
      <w:lvlText w:val="%1&gt;"/>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15:restartNumberingAfterBreak="0">
    <w:nsid w:val="7C701CA9"/>
    <w:multiLevelType w:val="hybridMultilevel"/>
    <w:tmpl w:val="5E2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18"/>
  </w:num>
  <w:num w:numId="5">
    <w:abstractNumId w:val="16"/>
  </w:num>
  <w:num w:numId="6">
    <w:abstractNumId w:val="13"/>
  </w:num>
  <w:num w:numId="7">
    <w:abstractNumId w:val="19"/>
  </w:num>
  <w:num w:numId="8">
    <w:abstractNumId w:val="22"/>
  </w:num>
  <w:num w:numId="9">
    <w:abstractNumId w:val="5"/>
  </w:num>
  <w:num w:numId="10">
    <w:abstractNumId w:val="24"/>
  </w:num>
  <w:num w:numId="11">
    <w:abstractNumId w:val="7"/>
  </w:num>
  <w:num w:numId="12">
    <w:abstractNumId w:val="11"/>
  </w:num>
  <w:num w:numId="13">
    <w:abstractNumId w:val="4"/>
  </w:num>
  <w:num w:numId="14">
    <w:abstractNumId w:val="23"/>
  </w:num>
  <w:num w:numId="15">
    <w:abstractNumId w:val="17"/>
  </w:num>
  <w:num w:numId="16">
    <w:abstractNumId w:val="12"/>
  </w:num>
  <w:num w:numId="17">
    <w:abstractNumId w:val="8"/>
  </w:num>
  <w:num w:numId="18">
    <w:abstractNumId w:val="10"/>
  </w:num>
  <w:num w:numId="19">
    <w:abstractNumId w:val="14"/>
  </w:num>
  <w:num w:numId="20">
    <w:abstractNumId w:val="9"/>
  </w:num>
  <w:num w:numId="21">
    <w:abstractNumId w:val="2"/>
  </w:num>
  <w:num w:numId="22">
    <w:abstractNumId w:val="21"/>
  </w:num>
  <w:num w:numId="23">
    <w:abstractNumId w:val="0"/>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A7"/>
    <w:rsid w:val="0004517D"/>
    <w:rsid w:val="000A0E16"/>
    <w:rsid w:val="000A2ACD"/>
    <w:rsid w:val="002055D0"/>
    <w:rsid w:val="002100AF"/>
    <w:rsid w:val="002227DB"/>
    <w:rsid w:val="00232405"/>
    <w:rsid w:val="0025581C"/>
    <w:rsid w:val="002B41EC"/>
    <w:rsid w:val="00312F7C"/>
    <w:rsid w:val="003511BE"/>
    <w:rsid w:val="003B1476"/>
    <w:rsid w:val="004A1665"/>
    <w:rsid w:val="004F59C5"/>
    <w:rsid w:val="00513976"/>
    <w:rsid w:val="0052286F"/>
    <w:rsid w:val="00556AE6"/>
    <w:rsid w:val="00580ACC"/>
    <w:rsid w:val="00582142"/>
    <w:rsid w:val="0060132D"/>
    <w:rsid w:val="00661B23"/>
    <w:rsid w:val="006846D1"/>
    <w:rsid w:val="006A7729"/>
    <w:rsid w:val="006B3490"/>
    <w:rsid w:val="006C36F5"/>
    <w:rsid w:val="006D0C07"/>
    <w:rsid w:val="008132B5"/>
    <w:rsid w:val="00825B0A"/>
    <w:rsid w:val="0086159D"/>
    <w:rsid w:val="00921450"/>
    <w:rsid w:val="009A7153"/>
    <w:rsid w:val="00A261A7"/>
    <w:rsid w:val="00A81698"/>
    <w:rsid w:val="00AB5E9F"/>
    <w:rsid w:val="00AB7C6E"/>
    <w:rsid w:val="00BB187A"/>
    <w:rsid w:val="00BD2A95"/>
    <w:rsid w:val="00BE63BB"/>
    <w:rsid w:val="00CE2DFC"/>
    <w:rsid w:val="00D16257"/>
    <w:rsid w:val="00D97EFF"/>
    <w:rsid w:val="00E776B0"/>
    <w:rsid w:val="00EA3462"/>
    <w:rsid w:val="00EA4AD5"/>
    <w:rsid w:val="00EB2100"/>
    <w:rsid w:val="00EC4580"/>
    <w:rsid w:val="00EE3016"/>
    <w:rsid w:val="00EE556B"/>
    <w:rsid w:val="00F1393C"/>
    <w:rsid w:val="00F1408E"/>
    <w:rsid w:val="00F32F58"/>
    <w:rsid w:val="00F65D2D"/>
    <w:rsid w:val="00F86713"/>
    <w:rsid w:val="00FA54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ED164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1A7"/>
    <w:pPr>
      <w:tabs>
        <w:tab w:val="center" w:pos="4320"/>
        <w:tab w:val="right" w:pos="8640"/>
      </w:tabs>
    </w:pPr>
  </w:style>
  <w:style w:type="character" w:customStyle="1" w:styleId="HeaderChar">
    <w:name w:val="Header Char"/>
    <w:basedOn w:val="DefaultParagraphFont"/>
    <w:link w:val="Header"/>
    <w:uiPriority w:val="99"/>
    <w:rsid w:val="00A261A7"/>
  </w:style>
  <w:style w:type="paragraph" w:styleId="Footer">
    <w:name w:val="footer"/>
    <w:basedOn w:val="Normal"/>
    <w:link w:val="FooterChar"/>
    <w:uiPriority w:val="99"/>
    <w:unhideWhenUsed/>
    <w:rsid w:val="00A261A7"/>
    <w:pPr>
      <w:tabs>
        <w:tab w:val="center" w:pos="4320"/>
        <w:tab w:val="right" w:pos="8640"/>
      </w:tabs>
    </w:pPr>
  </w:style>
  <w:style w:type="character" w:customStyle="1" w:styleId="FooterChar">
    <w:name w:val="Footer Char"/>
    <w:basedOn w:val="DefaultParagraphFont"/>
    <w:link w:val="Footer"/>
    <w:uiPriority w:val="99"/>
    <w:rsid w:val="00A261A7"/>
  </w:style>
  <w:style w:type="paragraph" w:styleId="BalloonText">
    <w:name w:val="Balloon Text"/>
    <w:basedOn w:val="Normal"/>
    <w:link w:val="BalloonTextChar"/>
    <w:uiPriority w:val="99"/>
    <w:semiHidden/>
    <w:unhideWhenUsed/>
    <w:rsid w:val="00A261A7"/>
    <w:rPr>
      <w:rFonts w:ascii="Lucida Grande" w:hAnsi="Lucida Grande"/>
      <w:sz w:val="18"/>
      <w:szCs w:val="18"/>
    </w:rPr>
  </w:style>
  <w:style w:type="character" w:customStyle="1" w:styleId="BalloonTextChar">
    <w:name w:val="Balloon Text Char"/>
    <w:basedOn w:val="DefaultParagraphFont"/>
    <w:link w:val="BalloonText"/>
    <w:uiPriority w:val="99"/>
    <w:semiHidden/>
    <w:rsid w:val="00A261A7"/>
    <w:rPr>
      <w:rFonts w:ascii="Lucida Grande" w:hAnsi="Lucida Grande"/>
      <w:sz w:val="18"/>
      <w:szCs w:val="18"/>
    </w:rPr>
  </w:style>
  <w:style w:type="paragraph" w:styleId="ListParagraph">
    <w:name w:val="List Paragraph"/>
    <w:basedOn w:val="Normal"/>
    <w:uiPriority w:val="34"/>
    <w:qFormat/>
    <w:rsid w:val="004F59C5"/>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4A1665"/>
    <w:rPr>
      <w:color w:val="0000FF" w:themeColor="hyperlink"/>
      <w:u w:val="single"/>
    </w:rPr>
  </w:style>
  <w:style w:type="table" w:styleId="TableGrid">
    <w:name w:val="Table Grid"/>
    <w:basedOn w:val="TableNormal"/>
    <w:uiPriority w:val="39"/>
    <w:rsid w:val="00D1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16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5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69C4-8DDA-4DBE-AAF0-C385AB20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Gauther</dc:creator>
  <cp:keywords/>
  <dc:description/>
  <cp:lastModifiedBy>Childs, Nicholas</cp:lastModifiedBy>
  <cp:revision>4</cp:revision>
  <dcterms:created xsi:type="dcterms:W3CDTF">2020-07-27T20:28:00Z</dcterms:created>
  <dcterms:modified xsi:type="dcterms:W3CDTF">2020-07-27T20:37:00Z</dcterms:modified>
</cp:coreProperties>
</file>